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2C2" w:rsidRDefault="000672A0">
      <w:pPr>
        <w:pStyle w:val="Heading1"/>
        <w:ind w:firstLine="133"/>
      </w:pPr>
      <w:bookmarkStart w:id="0" w:name="_heading=h.gjdgxs" w:colFirst="0" w:colLast="0"/>
      <w:bookmarkEnd w:id="0"/>
      <w:r>
        <w:rPr>
          <w:color w:val="0F4E74"/>
        </w:rPr>
        <w:t>Pupil premium strategy statement</w:t>
      </w:r>
    </w:p>
    <w:p w:rsidR="002D22C2" w:rsidRDefault="002D22C2">
      <w:pPr>
        <w:pBdr>
          <w:top w:val="nil"/>
          <w:left w:val="nil"/>
          <w:bottom w:val="nil"/>
          <w:right w:val="nil"/>
          <w:between w:val="nil"/>
        </w:pBdr>
        <w:spacing w:before="66"/>
        <w:rPr>
          <w:b/>
          <w:bCs/>
          <w:color w:val="000000"/>
          <w:sz w:val="36"/>
          <w:szCs w:val="36"/>
        </w:rPr>
      </w:pPr>
    </w:p>
    <w:p w:rsidR="002D22C2" w:rsidRDefault="000672A0">
      <w:pPr>
        <w:ind w:left="133" w:right="358"/>
        <w:rPr>
          <w:sz w:val="24"/>
          <w:szCs w:val="24"/>
        </w:rPr>
      </w:pPr>
      <w:r>
        <w:rPr>
          <w:sz w:val="24"/>
          <w:szCs w:val="24"/>
        </w:rPr>
        <w:t>This statement details our school’s use of pupil premium (and recovery premium for the 2025 to 2026 academic year) funding to help improve the attainment of our disadvantaged pupils.</w:t>
      </w:r>
    </w:p>
    <w:p w:rsidR="002D22C2" w:rsidRDefault="000672A0">
      <w:pPr>
        <w:spacing w:before="240"/>
        <w:ind w:left="133" w:right="358"/>
        <w:rPr>
          <w:sz w:val="24"/>
          <w:szCs w:val="24"/>
        </w:rPr>
      </w:pPr>
      <w:r>
        <w:rPr>
          <w:sz w:val="24"/>
          <w:szCs w:val="24"/>
        </w:rPr>
        <w:t>It outlines our pupil premium strategy, how we intend to spend the funding in this academic year and the effect that last year’s spending of pupil premium had within our school.</w:t>
      </w:r>
    </w:p>
    <w:p w:rsidR="002D22C2" w:rsidRDefault="002D22C2">
      <w:pPr>
        <w:pBdr>
          <w:top w:val="nil"/>
          <w:left w:val="nil"/>
          <w:bottom w:val="nil"/>
          <w:right w:val="nil"/>
          <w:between w:val="nil"/>
        </w:pBdr>
        <w:spacing w:before="204"/>
        <w:rPr>
          <w:color w:val="000000"/>
          <w:sz w:val="24"/>
          <w:szCs w:val="24"/>
        </w:rPr>
      </w:pPr>
    </w:p>
    <w:p w:rsidR="002D22C2" w:rsidRDefault="000672A0">
      <w:pPr>
        <w:ind w:left="133"/>
        <w:rPr>
          <w:b/>
          <w:bCs/>
          <w:sz w:val="32"/>
          <w:szCs w:val="32"/>
        </w:rPr>
      </w:pPr>
      <w:r>
        <w:rPr>
          <w:b/>
          <w:bCs/>
          <w:color w:val="0F4E74"/>
          <w:sz w:val="32"/>
          <w:szCs w:val="32"/>
        </w:rPr>
        <w:t>School overview</w:t>
      </w:r>
    </w:p>
    <w:p w:rsidR="002D22C2" w:rsidRDefault="002D22C2">
      <w:pPr>
        <w:pBdr>
          <w:top w:val="nil"/>
          <w:left w:val="nil"/>
          <w:bottom w:val="nil"/>
          <w:right w:val="nil"/>
          <w:between w:val="nil"/>
        </w:pBdr>
        <w:spacing w:before="9"/>
        <w:rPr>
          <w:b/>
          <w:bCs/>
          <w:color w:val="000000"/>
          <w:sz w:val="19"/>
          <w:szCs w:val="19"/>
        </w:rPr>
      </w:pPr>
    </w:p>
    <w:tbl>
      <w:tblPr>
        <w:tblStyle w:val="af5"/>
        <w:tblW w:w="9480" w:type="dxa"/>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520"/>
        <w:gridCol w:w="2960"/>
      </w:tblGrid>
      <w:tr w:rsidR="002D22C2">
        <w:trPr>
          <w:trHeight w:val="339"/>
        </w:trPr>
        <w:tc>
          <w:tcPr>
            <w:tcW w:w="6520" w:type="dxa"/>
            <w:shd w:val="clear" w:color="auto" w:fill="D8E2E8"/>
          </w:tcPr>
          <w:p w:rsidR="002D22C2" w:rsidRDefault="000672A0">
            <w:pPr>
              <w:pBdr>
                <w:top w:val="nil"/>
                <w:left w:val="nil"/>
                <w:bottom w:val="nil"/>
                <w:right w:val="nil"/>
                <w:between w:val="nil"/>
              </w:pBdr>
              <w:spacing w:before="66"/>
              <w:ind w:left="169"/>
              <w:rPr>
                <w:b/>
                <w:bCs/>
                <w:color w:val="000000"/>
                <w:sz w:val="20"/>
                <w:szCs w:val="20"/>
              </w:rPr>
            </w:pPr>
            <w:r>
              <w:rPr>
                <w:b/>
                <w:bCs/>
                <w:color w:val="0D0D0D"/>
                <w:sz w:val="20"/>
                <w:szCs w:val="20"/>
              </w:rPr>
              <w:t>Detail</w:t>
            </w:r>
          </w:p>
        </w:tc>
        <w:tc>
          <w:tcPr>
            <w:tcW w:w="2960" w:type="dxa"/>
            <w:shd w:val="clear" w:color="auto" w:fill="D8E2E8"/>
          </w:tcPr>
          <w:p w:rsidR="002D22C2" w:rsidRDefault="000672A0">
            <w:pPr>
              <w:pBdr>
                <w:top w:val="nil"/>
                <w:left w:val="nil"/>
                <w:bottom w:val="nil"/>
                <w:right w:val="nil"/>
                <w:between w:val="nil"/>
              </w:pBdr>
              <w:spacing w:before="66"/>
              <w:ind w:left="158"/>
              <w:rPr>
                <w:b/>
                <w:bCs/>
                <w:color w:val="000000"/>
                <w:sz w:val="20"/>
                <w:szCs w:val="20"/>
              </w:rPr>
            </w:pPr>
            <w:r>
              <w:rPr>
                <w:b/>
                <w:bCs/>
                <w:color w:val="0D0D0D"/>
                <w:sz w:val="20"/>
                <w:szCs w:val="20"/>
              </w:rPr>
              <w:t>Data</w:t>
            </w:r>
          </w:p>
        </w:tc>
      </w:tr>
      <w:tr w:rsidR="002D22C2">
        <w:trPr>
          <w:trHeight w:val="360"/>
        </w:trPr>
        <w:tc>
          <w:tcPr>
            <w:tcW w:w="6520" w:type="dxa"/>
          </w:tcPr>
          <w:p w:rsidR="002D22C2" w:rsidRDefault="000672A0">
            <w:pPr>
              <w:pBdr>
                <w:top w:val="nil"/>
                <w:left w:val="nil"/>
                <w:bottom w:val="nil"/>
                <w:right w:val="nil"/>
                <w:between w:val="nil"/>
              </w:pBdr>
              <w:spacing w:before="71"/>
              <w:ind w:left="169"/>
              <w:rPr>
                <w:color w:val="000000"/>
                <w:sz w:val="20"/>
                <w:szCs w:val="20"/>
              </w:rPr>
            </w:pPr>
            <w:r>
              <w:rPr>
                <w:color w:val="0D0D0D"/>
                <w:sz w:val="20"/>
                <w:szCs w:val="20"/>
              </w:rPr>
              <w:t>School name</w:t>
            </w:r>
          </w:p>
        </w:tc>
        <w:tc>
          <w:tcPr>
            <w:tcW w:w="2960" w:type="dxa"/>
          </w:tcPr>
          <w:p w:rsidR="002D22C2" w:rsidRDefault="000672A0">
            <w:pPr>
              <w:pBdr>
                <w:top w:val="nil"/>
                <w:left w:val="nil"/>
                <w:bottom w:val="nil"/>
                <w:right w:val="nil"/>
                <w:between w:val="nil"/>
              </w:pBdr>
              <w:spacing w:before="71"/>
              <w:ind w:left="158"/>
              <w:rPr>
                <w:color w:val="000000"/>
                <w:sz w:val="20"/>
                <w:szCs w:val="20"/>
              </w:rPr>
            </w:pPr>
            <w:r>
              <w:rPr>
                <w:color w:val="0D0D0D"/>
                <w:sz w:val="20"/>
                <w:szCs w:val="20"/>
              </w:rPr>
              <w:t>Dene Magna School</w:t>
            </w:r>
          </w:p>
        </w:tc>
      </w:tr>
      <w:tr w:rsidR="002D22C2">
        <w:trPr>
          <w:trHeight w:val="339"/>
        </w:trPr>
        <w:tc>
          <w:tcPr>
            <w:tcW w:w="6520" w:type="dxa"/>
          </w:tcPr>
          <w:p w:rsidR="002D22C2" w:rsidRDefault="000672A0">
            <w:pPr>
              <w:pBdr>
                <w:top w:val="nil"/>
                <w:left w:val="nil"/>
                <w:bottom w:val="nil"/>
                <w:right w:val="nil"/>
                <w:between w:val="nil"/>
              </w:pBdr>
              <w:spacing w:before="56"/>
              <w:ind w:left="169"/>
              <w:rPr>
                <w:color w:val="000000"/>
                <w:sz w:val="20"/>
                <w:szCs w:val="20"/>
              </w:rPr>
            </w:pPr>
            <w:r>
              <w:rPr>
                <w:color w:val="0D0D0D"/>
                <w:sz w:val="20"/>
                <w:szCs w:val="20"/>
              </w:rPr>
              <w:t>Number of pupils in school</w:t>
            </w:r>
          </w:p>
        </w:tc>
        <w:tc>
          <w:tcPr>
            <w:tcW w:w="2960" w:type="dxa"/>
          </w:tcPr>
          <w:p w:rsidR="002D22C2" w:rsidRDefault="000672A0">
            <w:pPr>
              <w:pBdr>
                <w:top w:val="nil"/>
                <w:left w:val="nil"/>
                <w:bottom w:val="nil"/>
                <w:right w:val="nil"/>
                <w:between w:val="nil"/>
              </w:pBdr>
              <w:spacing w:before="56"/>
              <w:ind w:left="158"/>
              <w:rPr>
                <w:color w:val="000000"/>
                <w:sz w:val="20"/>
                <w:szCs w:val="20"/>
              </w:rPr>
            </w:pPr>
            <w:r>
              <w:rPr>
                <w:sz w:val="20"/>
                <w:szCs w:val="20"/>
              </w:rPr>
              <w:t>1009</w:t>
            </w:r>
          </w:p>
        </w:tc>
      </w:tr>
      <w:tr w:rsidR="002D22C2">
        <w:trPr>
          <w:trHeight w:val="340"/>
        </w:trPr>
        <w:tc>
          <w:tcPr>
            <w:tcW w:w="6520" w:type="dxa"/>
          </w:tcPr>
          <w:p w:rsidR="002D22C2" w:rsidRDefault="000672A0">
            <w:pPr>
              <w:pBdr>
                <w:top w:val="nil"/>
                <w:left w:val="nil"/>
                <w:bottom w:val="nil"/>
                <w:right w:val="nil"/>
                <w:between w:val="nil"/>
              </w:pBdr>
              <w:spacing w:before="61"/>
              <w:ind w:left="169"/>
              <w:rPr>
                <w:color w:val="000000"/>
                <w:sz w:val="20"/>
                <w:szCs w:val="20"/>
              </w:rPr>
            </w:pPr>
            <w:r>
              <w:rPr>
                <w:color w:val="0D0D0D"/>
                <w:sz w:val="20"/>
                <w:szCs w:val="20"/>
              </w:rPr>
              <w:t>Proportion (%) of pupil premium eligible pupils</w:t>
            </w:r>
          </w:p>
        </w:tc>
        <w:tc>
          <w:tcPr>
            <w:tcW w:w="2960" w:type="dxa"/>
          </w:tcPr>
          <w:p w:rsidR="002D22C2" w:rsidRDefault="000672A0">
            <w:pPr>
              <w:pBdr>
                <w:top w:val="nil"/>
                <w:left w:val="nil"/>
                <w:bottom w:val="nil"/>
                <w:right w:val="nil"/>
                <w:between w:val="nil"/>
              </w:pBdr>
              <w:spacing w:before="61"/>
              <w:ind w:left="158"/>
              <w:rPr>
                <w:color w:val="000000"/>
                <w:sz w:val="20"/>
                <w:szCs w:val="20"/>
              </w:rPr>
            </w:pPr>
            <w:r>
              <w:rPr>
                <w:sz w:val="20"/>
                <w:szCs w:val="20"/>
              </w:rPr>
              <w:t>(19%) 193</w:t>
            </w:r>
          </w:p>
        </w:tc>
      </w:tr>
      <w:tr w:rsidR="002D22C2">
        <w:trPr>
          <w:trHeight w:val="299"/>
        </w:trPr>
        <w:tc>
          <w:tcPr>
            <w:tcW w:w="6520" w:type="dxa"/>
            <w:tcBorders>
              <w:bottom w:val="nil"/>
            </w:tcBorders>
          </w:tcPr>
          <w:p w:rsidR="002D22C2" w:rsidRDefault="000672A0">
            <w:pPr>
              <w:pBdr>
                <w:top w:val="nil"/>
                <w:left w:val="nil"/>
                <w:bottom w:val="nil"/>
                <w:right w:val="nil"/>
                <w:between w:val="nil"/>
              </w:pBdr>
              <w:spacing w:before="66" w:line="213" w:lineRule="auto"/>
              <w:ind w:left="169"/>
              <w:rPr>
                <w:color w:val="000000"/>
                <w:sz w:val="20"/>
                <w:szCs w:val="20"/>
              </w:rPr>
            </w:pPr>
            <w:r>
              <w:rPr>
                <w:color w:val="0D0D0D"/>
                <w:sz w:val="20"/>
                <w:szCs w:val="20"/>
              </w:rPr>
              <w:t>Academic year/years that our current pupil premium strategy plan</w:t>
            </w:r>
          </w:p>
        </w:tc>
        <w:tc>
          <w:tcPr>
            <w:tcW w:w="2960" w:type="dxa"/>
            <w:tcBorders>
              <w:bottom w:val="nil"/>
            </w:tcBorders>
          </w:tcPr>
          <w:p w:rsidR="002D22C2" w:rsidRDefault="000672A0">
            <w:pPr>
              <w:pBdr>
                <w:top w:val="nil"/>
                <w:left w:val="nil"/>
                <w:bottom w:val="nil"/>
                <w:right w:val="nil"/>
                <w:between w:val="nil"/>
              </w:pBdr>
              <w:spacing w:before="66" w:line="213" w:lineRule="auto"/>
              <w:ind w:left="158"/>
              <w:rPr>
                <w:color w:val="000000"/>
                <w:sz w:val="20"/>
                <w:szCs w:val="20"/>
              </w:rPr>
            </w:pPr>
            <w:r>
              <w:rPr>
                <w:color w:val="0D0D0D"/>
                <w:sz w:val="20"/>
                <w:szCs w:val="20"/>
              </w:rPr>
              <w:t>2025-26</w:t>
            </w:r>
          </w:p>
        </w:tc>
      </w:tr>
      <w:tr w:rsidR="002D22C2">
        <w:trPr>
          <w:trHeight w:val="319"/>
        </w:trPr>
        <w:tc>
          <w:tcPr>
            <w:tcW w:w="6520" w:type="dxa"/>
            <w:tcBorders>
              <w:top w:val="nil"/>
              <w:bottom w:val="nil"/>
            </w:tcBorders>
          </w:tcPr>
          <w:p w:rsidR="002D22C2" w:rsidRDefault="000672A0">
            <w:pPr>
              <w:pBdr>
                <w:top w:val="nil"/>
                <w:left w:val="nil"/>
                <w:bottom w:val="nil"/>
                <w:right w:val="nil"/>
                <w:between w:val="nil"/>
              </w:pBdr>
              <w:spacing w:line="227" w:lineRule="auto"/>
              <w:ind w:left="169"/>
              <w:rPr>
                <w:color w:val="000000"/>
                <w:sz w:val="20"/>
                <w:szCs w:val="20"/>
              </w:rPr>
            </w:pPr>
            <w:r>
              <w:rPr>
                <w:color w:val="0D0D0D"/>
                <w:sz w:val="20"/>
                <w:szCs w:val="20"/>
              </w:rPr>
              <w:t>covers</w:t>
            </w:r>
          </w:p>
        </w:tc>
        <w:tc>
          <w:tcPr>
            <w:tcW w:w="2960" w:type="dxa"/>
            <w:tcBorders>
              <w:top w:val="nil"/>
              <w:bottom w:val="nil"/>
            </w:tcBorders>
          </w:tcPr>
          <w:p w:rsidR="002D22C2" w:rsidRDefault="000672A0">
            <w:pPr>
              <w:pBdr>
                <w:top w:val="nil"/>
                <w:left w:val="nil"/>
                <w:bottom w:val="nil"/>
                <w:right w:val="nil"/>
                <w:between w:val="nil"/>
              </w:pBdr>
              <w:spacing w:before="56"/>
              <w:ind w:left="158"/>
              <w:rPr>
                <w:color w:val="000000"/>
                <w:sz w:val="20"/>
                <w:szCs w:val="20"/>
              </w:rPr>
            </w:pPr>
            <w:r>
              <w:rPr>
                <w:color w:val="0D0D0D"/>
                <w:sz w:val="20"/>
                <w:szCs w:val="20"/>
              </w:rPr>
              <w:t>2026-27</w:t>
            </w:r>
          </w:p>
        </w:tc>
      </w:tr>
      <w:tr w:rsidR="002D22C2">
        <w:trPr>
          <w:trHeight w:val="300"/>
        </w:trPr>
        <w:tc>
          <w:tcPr>
            <w:tcW w:w="6520" w:type="dxa"/>
            <w:tcBorders>
              <w:top w:val="nil"/>
            </w:tcBorders>
          </w:tcPr>
          <w:p w:rsidR="002D22C2" w:rsidRDefault="002D22C2">
            <w:pPr>
              <w:pBdr>
                <w:top w:val="nil"/>
                <w:left w:val="nil"/>
                <w:bottom w:val="nil"/>
                <w:right w:val="nil"/>
                <w:between w:val="nil"/>
              </w:pBdr>
              <w:rPr>
                <w:rFonts w:ascii="Times New Roman" w:eastAsia="Times New Roman" w:hAnsi="Times New Roman" w:cs="Times New Roman"/>
                <w:color w:val="000000"/>
              </w:rPr>
            </w:pPr>
          </w:p>
        </w:tc>
        <w:tc>
          <w:tcPr>
            <w:tcW w:w="2960" w:type="dxa"/>
            <w:tcBorders>
              <w:top w:val="nil"/>
            </w:tcBorders>
          </w:tcPr>
          <w:p w:rsidR="002D22C2" w:rsidRDefault="000672A0">
            <w:pPr>
              <w:pBdr>
                <w:top w:val="nil"/>
                <w:left w:val="nil"/>
                <w:bottom w:val="nil"/>
                <w:right w:val="nil"/>
                <w:between w:val="nil"/>
              </w:pBdr>
              <w:spacing w:before="26"/>
              <w:ind w:left="158"/>
              <w:rPr>
                <w:color w:val="000000"/>
                <w:sz w:val="20"/>
                <w:szCs w:val="20"/>
              </w:rPr>
            </w:pPr>
            <w:r>
              <w:rPr>
                <w:color w:val="0D0D0D"/>
                <w:sz w:val="20"/>
                <w:szCs w:val="20"/>
              </w:rPr>
              <w:t>2027-28</w:t>
            </w:r>
          </w:p>
        </w:tc>
      </w:tr>
      <w:tr w:rsidR="002D22C2">
        <w:trPr>
          <w:trHeight w:val="360"/>
        </w:trPr>
        <w:tc>
          <w:tcPr>
            <w:tcW w:w="6520" w:type="dxa"/>
          </w:tcPr>
          <w:p w:rsidR="002D22C2" w:rsidRDefault="000672A0">
            <w:pPr>
              <w:pBdr>
                <w:top w:val="nil"/>
                <w:left w:val="nil"/>
                <w:bottom w:val="nil"/>
                <w:right w:val="nil"/>
                <w:between w:val="nil"/>
              </w:pBdr>
              <w:spacing w:before="71"/>
              <w:ind w:left="169"/>
              <w:rPr>
                <w:color w:val="000000"/>
                <w:sz w:val="20"/>
                <w:szCs w:val="20"/>
              </w:rPr>
            </w:pPr>
            <w:r>
              <w:rPr>
                <w:color w:val="0D0D0D"/>
                <w:sz w:val="20"/>
                <w:szCs w:val="20"/>
              </w:rPr>
              <w:t>Date this statement was published</w:t>
            </w:r>
          </w:p>
        </w:tc>
        <w:tc>
          <w:tcPr>
            <w:tcW w:w="2960" w:type="dxa"/>
          </w:tcPr>
          <w:p w:rsidR="002D22C2" w:rsidRDefault="000672A0">
            <w:pPr>
              <w:pBdr>
                <w:top w:val="nil"/>
                <w:left w:val="nil"/>
                <w:bottom w:val="nil"/>
                <w:right w:val="nil"/>
                <w:between w:val="nil"/>
              </w:pBdr>
              <w:spacing w:before="71"/>
              <w:ind w:left="158"/>
              <w:rPr>
                <w:color w:val="000000"/>
                <w:sz w:val="20"/>
                <w:szCs w:val="20"/>
              </w:rPr>
            </w:pPr>
            <w:r>
              <w:rPr>
                <w:color w:val="0D0D0D"/>
                <w:sz w:val="20"/>
                <w:szCs w:val="20"/>
              </w:rPr>
              <w:t>January 2026</w:t>
            </w:r>
          </w:p>
        </w:tc>
      </w:tr>
      <w:tr w:rsidR="002D22C2">
        <w:trPr>
          <w:trHeight w:val="340"/>
        </w:trPr>
        <w:tc>
          <w:tcPr>
            <w:tcW w:w="6520" w:type="dxa"/>
          </w:tcPr>
          <w:p w:rsidR="002D22C2" w:rsidRDefault="000672A0">
            <w:pPr>
              <w:pBdr>
                <w:top w:val="nil"/>
                <w:left w:val="nil"/>
                <w:bottom w:val="nil"/>
                <w:right w:val="nil"/>
                <w:between w:val="nil"/>
              </w:pBdr>
              <w:spacing w:before="56"/>
              <w:ind w:left="169"/>
              <w:rPr>
                <w:color w:val="000000"/>
                <w:sz w:val="20"/>
                <w:szCs w:val="20"/>
              </w:rPr>
            </w:pPr>
            <w:r>
              <w:rPr>
                <w:color w:val="0D0D0D"/>
                <w:sz w:val="20"/>
                <w:szCs w:val="20"/>
              </w:rPr>
              <w:t>Date on which it will be reviewed</w:t>
            </w:r>
          </w:p>
        </w:tc>
        <w:tc>
          <w:tcPr>
            <w:tcW w:w="2960" w:type="dxa"/>
          </w:tcPr>
          <w:p w:rsidR="002D22C2" w:rsidRDefault="000672A0">
            <w:pPr>
              <w:pBdr>
                <w:top w:val="nil"/>
                <w:left w:val="nil"/>
                <w:bottom w:val="nil"/>
                <w:right w:val="nil"/>
                <w:between w:val="nil"/>
              </w:pBdr>
              <w:spacing w:before="56"/>
              <w:ind w:left="158"/>
              <w:rPr>
                <w:color w:val="000000"/>
                <w:sz w:val="20"/>
                <w:szCs w:val="20"/>
              </w:rPr>
            </w:pPr>
            <w:r>
              <w:rPr>
                <w:color w:val="0D0D0D"/>
                <w:sz w:val="20"/>
                <w:szCs w:val="20"/>
              </w:rPr>
              <w:t>January 2027</w:t>
            </w:r>
          </w:p>
        </w:tc>
      </w:tr>
      <w:tr w:rsidR="002D22C2">
        <w:trPr>
          <w:trHeight w:val="340"/>
        </w:trPr>
        <w:tc>
          <w:tcPr>
            <w:tcW w:w="6520" w:type="dxa"/>
          </w:tcPr>
          <w:p w:rsidR="002D22C2" w:rsidRDefault="000672A0">
            <w:pPr>
              <w:pBdr>
                <w:top w:val="nil"/>
                <w:left w:val="nil"/>
                <w:bottom w:val="nil"/>
                <w:right w:val="nil"/>
                <w:between w:val="nil"/>
              </w:pBdr>
              <w:spacing w:before="61"/>
              <w:ind w:left="169"/>
              <w:rPr>
                <w:color w:val="000000"/>
                <w:sz w:val="20"/>
                <w:szCs w:val="20"/>
              </w:rPr>
            </w:pPr>
            <w:r>
              <w:rPr>
                <w:color w:val="0D0D0D"/>
                <w:sz w:val="20"/>
                <w:szCs w:val="20"/>
              </w:rPr>
              <w:t xml:space="preserve">Statement </w:t>
            </w:r>
            <w:proofErr w:type="spellStart"/>
            <w:r>
              <w:rPr>
                <w:color w:val="0D0D0D"/>
                <w:sz w:val="20"/>
                <w:szCs w:val="20"/>
              </w:rPr>
              <w:t>authorised</w:t>
            </w:r>
            <w:proofErr w:type="spellEnd"/>
            <w:r>
              <w:rPr>
                <w:color w:val="0D0D0D"/>
                <w:sz w:val="20"/>
                <w:szCs w:val="20"/>
              </w:rPr>
              <w:t xml:space="preserve"> by</w:t>
            </w:r>
          </w:p>
        </w:tc>
        <w:tc>
          <w:tcPr>
            <w:tcW w:w="2960" w:type="dxa"/>
          </w:tcPr>
          <w:p w:rsidR="002D22C2" w:rsidRDefault="000672A0">
            <w:pPr>
              <w:pBdr>
                <w:top w:val="nil"/>
                <w:left w:val="nil"/>
                <w:bottom w:val="nil"/>
                <w:right w:val="nil"/>
                <w:between w:val="nil"/>
              </w:pBdr>
              <w:spacing w:before="61"/>
              <w:ind w:left="158"/>
              <w:rPr>
                <w:color w:val="000000"/>
                <w:sz w:val="20"/>
                <w:szCs w:val="20"/>
              </w:rPr>
            </w:pPr>
            <w:r>
              <w:rPr>
                <w:color w:val="0D0D0D"/>
                <w:sz w:val="20"/>
                <w:szCs w:val="20"/>
              </w:rPr>
              <w:t>Declan Mooney</w:t>
            </w:r>
          </w:p>
        </w:tc>
      </w:tr>
      <w:tr w:rsidR="002D22C2">
        <w:trPr>
          <w:trHeight w:val="340"/>
        </w:trPr>
        <w:tc>
          <w:tcPr>
            <w:tcW w:w="6520" w:type="dxa"/>
          </w:tcPr>
          <w:p w:rsidR="002D22C2" w:rsidRDefault="000672A0">
            <w:pPr>
              <w:pBdr>
                <w:top w:val="nil"/>
                <w:left w:val="nil"/>
                <w:bottom w:val="nil"/>
                <w:right w:val="nil"/>
                <w:between w:val="nil"/>
              </w:pBdr>
              <w:spacing w:before="66"/>
              <w:ind w:left="169"/>
              <w:rPr>
                <w:color w:val="000000"/>
                <w:sz w:val="20"/>
                <w:szCs w:val="20"/>
              </w:rPr>
            </w:pPr>
            <w:r>
              <w:rPr>
                <w:color w:val="0D0D0D"/>
                <w:sz w:val="20"/>
                <w:szCs w:val="20"/>
              </w:rPr>
              <w:t>Pupil premium lead</w:t>
            </w:r>
          </w:p>
        </w:tc>
        <w:tc>
          <w:tcPr>
            <w:tcW w:w="2960" w:type="dxa"/>
          </w:tcPr>
          <w:p w:rsidR="002D22C2" w:rsidRDefault="000672A0">
            <w:pPr>
              <w:pBdr>
                <w:top w:val="nil"/>
                <w:left w:val="nil"/>
                <w:bottom w:val="nil"/>
                <w:right w:val="nil"/>
                <w:between w:val="nil"/>
              </w:pBdr>
              <w:spacing w:before="66"/>
              <w:ind w:left="158"/>
              <w:rPr>
                <w:color w:val="000000"/>
                <w:sz w:val="20"/>
                <w:szCs w:val="20"/>
              </w:rPr>
            </w:pPr>
            <w:proofErr w:type="spellStart"/>
            <w:r>
              <w:rPr>
                <w:color w:val="0D0D0D"/>
                <w:sz w:val="20"/>
                <w:szCs w:val="20"/>
              </w:rPr>
              <w:t>Natascha</w:t>
            </w:r>
            <w:proofErr w:type="spellEnd"/>
            <w:r>
              <w:rPr>
                <w:color w:val="0D0D0D"/>
                <w:sz w:val="20"/>
                <w:szCs w:val="20"/>
              </w:rPr>
              <w:t xml:space="preserve"> Cook</w:t>
            </w:r>
          </w:p>
        </w:tc>
      </w:tr>
      <w:tr w:rsidR="002D22C2">
        <w:trPr>
          <w:trHeight w:val="360"/>
        </w:trPr>
        <w:tc>
          <w:tcPr>
            <w:tcW w:w="6520" w:type="dxa"/>
          </w:tcPr>
          <w:p w:rsidR="002D22C2" w:rsidRDefault="000672A0">
            <w:pPr>
              <w:pBdr>
                <w:top w:val="nil"/>
                <w:left w:val="nil"/>
                <w:bottom w:val="nil"/>
                <w:right w:val="nil"/>
                <w:between w:val="nil"/>
              </w:pBdr>
              <w:spacing w:before="71"/>
              <w:ind w:left="169"/>
              <w:rPr>
                <w:color w:val="000000"/>
                <w:sz w:val="20"/>
                <w:szCs w:val="20"/>
              </w:rPr>
            </w:pPr>
            <w:r>
              <w:rPr>
                <w:color w:val="0D0D0D"/>
                <w:sz w:val="20"/>
                <w:szCs w:val="20"/>
              </w:rPr>
              <w:t>Governor / Trustee lead</w:t>
            </w:r>
          </w:p>
        </w:tc>
        <w:tc>
          <w:tcPr>
            <w:tcW w:w="2960" w:type="dxa"/>
          </w:tcPr>
          <w:p w:rsidR="002D22C2" w:rsidRDefault="000672A0">
            <w:pPr>
              <w:pBdr>
                <w:top w:val="nil"/>
                <w:left w:val="nil"/>
                <w:bottom w:val="nil"/>
                <w:right w:val="nil"/>
                <w:between w:val="nil"/>
              </w:pBdr>
              <w:spacing w:before="71"/>
              <w:ind w:left="158"/>
              <w:rPr>
                <w:color w:val="000000"/>
                <w:sz w:val="20"/>
                <w:szCs w:val="20"/>
              </w:rPr>
            </w:pPr>
            <w:r>
              <w:rPr>
                <w:color w:val="0D0D0D"/>
                <w:sz w:val="20"/>
                <w:szCs w:val="20"/>
              </w:rPr>
              <w:t>Natalie Trigg</w:t>
            </w:r>
          </w:p>
        </w:tc>
      </w:tr>
    </w:tbl>
    <w:p w:rsidR="002D22C2" w:rsidRDefault="002D22C2">
      <w:pPr>
        <w:pBdr>
          <w:top w:val="nil"/>
          <w:left w:val="nil"/>
          <w:bottom w:val="nil"/>
          <w:right w:val="nil"/>
          <w:between w:val="nil"/>
        </w:pBdr>
        <w:spacing w:before="112"/>
        <w:rPr>
          <w:b/>
          <w:bCs/>
          <w:color w:val="000000"/>
          <w:sz w:val="32"/>
          <w:szCs w:val="32"/>
        </w:rPr>
      </w:pPr>
    </w:p>
    <w:p w:rsidR="002D22C2" w:rsidRDefault="000672A0">
      <w:pPr>
        <w:ind w:left="133"/>
        <w:rPr>
          <w:b/>
          <w:bCs/>
          <w:sz w:val="32"/>
          <w:szCs w:val="32"/>
        </w:rPr>
      </w:pPr>
      <w:r>
        <w:rPr>
          <w:b/>
          <w:bCs/>
          <w:color w:val="0F4E74"/>
          <w:sz w:val="32"/>
          <w:szCs w:val="32"/>
        </w:rPr>
        <w:t>Funding overview</w:t>
      </w:r>
    </w:p>
    <w:p w:rsidR="002D22C2" w:rsidRDefault="002D22C2">
      <w:pPr>
        <w:pBdr>
          <w:top w:val="nil"/>
          <w:left w:val="nil"/>
          <w:bottom w:val="nil"/>
          <w:right w:val="nil"/>
          <w:between w:val="nil"/>
        </w:pBdr>
        <w:spacing w:before="6"/>
        <w:rPr>
          <w:b/>
          <w:bCs/>
          <w:color w:val="000000"/>
          <w:sz w:val="20"/>
          <w:szCs w:val="20"/>
        </w:rPr>
      </w:pPr>
    </w:p>
    <w:tbl>
      <w:tblPr>
        <w:tblStyle w:val="af6"/>
        <w:tblW w:w="9480" w:type="dxa"/>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520"/>
        <w:gridCol w:w="2960"/>
      </w:tblGrid>
      <w:tr w:rsidR="002D22C2">
        <w:trPr>
          <w:trHeight w:val="380"/>
        </w:trPr>
        <w:tc>
          <w:tcPr>
            <w:tcW w:w="6520" w:type="dxa"/>
            <w:shd w:val="clear" w:color="auto" w:fill="D8E2E8"/>
          </w:tcPr>
          <w:p w:rsidR="002D22C2" w:rsidRDefault="000672A0">
            <w:pPr>
              <w:pBdr>
                <w:top w:val="nil"/>
                <w:left w:val="nil"/>
                <w:bottom w:val="nil"/>
                <w:right w:val="nil"/>
                <w:between w:val="nil"/>
              </w:pBdr>
              <w:spacing w:before="59"/>
              <w:ind w:left="169"/>
              <w:rPr>
                <w:b/>
                <w:bCs/>
                <w:color w:val="000000"/>
                <w:sz w:val="24"/>
                <w:szCs w:val="24"/>
              </w:rPr>
            </w:pPr>
            <w:r>
              <w:rPr>
                <w:b/>
                <w:bCs/>
                <w:color w:val="0D0D0D"/>
                <w:sz w:val="24"/>
                <w:szCs w:val="24"/>
              </w:rPr>
              <w:t>Detail</w:t>
            </w:r>
          </w:p>
        </w:tc>
        <w:tc>
          <w:tcPr>
            <w:tcW w:w="2960" w:type="dxa"/>
            <w:shd w:val="clear" w:color="auto" w:fill="D8E2E8"/>
          </w:tcPr>
          <w:p w:rsidR="002D22C2" w:rsidRDefault="000672A0">
            <w:pPr>
              <w:pBdr>
                <w:top w:val="nil"/>
                <w:left w:val="nil"/>
                <w:bottom w:val="nil"/>
                <w:right w:val="nil"/>
                <w:between w:val="nil"/>
              </w:pBdr>
              <w:spacing w:before="59"/>
              <w:ind w:left="158"/>
              <w:rPr>
                <w:b/>
                <w:bCs/>
                <w:color w:val="000000"/>
                <w:sz w:val="24"/>
                <w:szCs w:val="24"/>
              </w:rPr>
            </w:pPr>
            <w:r>
              <w:rPr>
                <w:b/>
                <w:bCs/>
                <w:color w:val="0D0D0D"/>
                <w:sz w:val="24"/>
                <w:szCs w:val="24"/>
              </w:rPr>
              <w:t>Amount</w:t>
            </w:r>
          </w:p>
        </w:tc>
      </w:tr>
      <w:tr w:rsidR="002D22C2">
        <w:trPr>
          <w:trHeight w:val="399"/>
        </w:trPr>
        <w:tc>
          <w:tcPr>
            <w:tcW w:w="6520" w:type="dxa"/>
          </w:tcPr>
          <w:p w:rsidR="002D22C2" w:rsidRDefault="000672A0">
            <w:pPr>
              <w:pBdr>
                <w:top w:val="nil"/>
                <w:left w:val="nil"/>
                <w:bottom w:val="nil"/>
                <w:right w:val="nil"/>
                <w:between w:val="nil"/>
              </w:pBdr>
              <w:spacing w:before="70"/>
              <w:ind w:left="169"/>
              <w:rPr>
                <w:color w:val="000000"/>
                <w:sz w:val="24"/>
                <w:szCs w:val="24"/>
              </w:rPr>
            </w:pPr>
            <w:r>
              <w:rPr>
                <w:color w:val="0D0D0D"/>
                <w:sz w:val="24"/>
                <w:szCs w:val="24"/>
              </w:rPr>
              <w:t>Pupil premium funding allocation this academic year</w:t>
            </w:r>
          </w:p>
        </w:tc>
        <w:tc>
          <w:tcPr>
            <w:tcW w:w="2960" w:type="dxa"/>
          </w:tcPr>
          <w:p w:rsidR="002D22C2" w:rsidRDefault="00085234">
            <w:pPr>
              <w:pBdr>
                <w:top w:val="nil"/>
                <w:left w:val="nil"/>
                <w:bottom w:val="nil"/>
                <w:right w:val="nil"/>
                <w:between w:val="nil"/>
              </w:pBdr>
              <w:spacing w:before="70"/>
              <w:ind w:left="158"/>
              <w:rPr>
                <w:color w:val="000000"/>
                <w:sz w:val="24"/>
                <w:szCs w:val="24"/>
              </w:rPr>
            </w:pPr>
            <w:r>
              <w:rPr>
                <w:color w:val="000000"/>
                <w:sz w:val="24"/>
                <w:szCs w:val="24"/>
              </w:rPr>
              <w:t>£206820</w:t>
            </w:r>
          </w:p>
        </w:tc>
      </w:tr>
      <w:tr w:rsidR="002D22C2">
        <w:trPr>
          <w:trHeight w:val="379"/>
        </w:trPr>
        <w:tc>
          <w:tcPr>
            <w:tcW w:w="6520" w:type="dxa"/>
          </w:tcPr>
          <w:p w:rsidR="002D22C2" w:rsidRDefault="000672A0">
            <w:pPr>
              <w:pBdr>
                <w:top w:val="nil"/>
                <w:left w:val="nil"/>
                <w:bottom w:val="nil"/>
                <w:right w:val="nil"/>
                <w:between w:val="nil"/>
              </w:pBdr>
              <w:spacing w:before="61"/>
              <w:ind w:left="169"/>
              <w:rPr>
                <w:color w:val="000000"/>
                <w:sz w:val="24"/>
                <w:szCs w:val="24"/>
              </w:rPr>
            </w:pPr>
            <w:r>
              <w:rPr>
                <w:color w:val="0D0D0D"/>
                <w:sz w:val="24"/>
                <w:szCs w:val="24"/>
              </w:rPr>
              <w:t>Recovery premium funding allocation this academic year</w:t>
            </w:r>
          </w:p>
        </w:tc>
        <w:tc>
          <w:tcPr>
            <w:tcW w:w="2960" w:type="dxa"/>
          </w:tcPr>
          <w:p w:rsidR="002D22C2" w:rsidRDefault="00085234">
            <w:pPr>
              <w:pBdr>
                <w:top w:val="nil"/>
                <w:left w:val="nil"/>
                <w:bottom w:val="nil"/>
                <w:right w:val="nil"/>
                <w:between w:val="nil"/>
              </w:pBdr>
              <w:spacing w:before="61"/>
              <w:ind w:left="158"/>
              <w:rPr>
                <w:color w:val="000000"/>
                <w:sz w:val="24"/>
                <w:szCs w:val="24"/>
              </w:rPr>
            </w:pPr>
            <w:r>
              <w:rPr>
                <w:color w:val="000000"/>
                <w:sz w:val="24"/>
                <w:szCs w:val="24"/>
              </w:rPr>
              <w:t>£0</w:t>
            </w:r>
          </w:p>
        </w:tc>
      </w:tr>
      <w:tr w:rsidR="002D22C2">
        <w:trPr>
          <w:trHeight w:val="679"/>
        </w:trPr>
        <w:tc>
          <w:tcPr>
            <w:tcW w:w="6520" w:type="dxa"/>
          </w:tcPr>
          <w:p w:rsidR="002D22C2" w:rsidRDefault="000672A0">
            <w:pPr>
              <w:pBdr>
                <w:top w:val="nil"/>
                <w:left w:val="nil"/>
                <w:bottom w:val="nil"/>
                <w:right w:val="nil"/>
                <w:between w:val="nil"/>
              </w:pBdr>
              <w:spacing w:before="72"/>
              <w:ind w:left="169" w:right="230"/>
              <w:rPr>
                <w:color w:val="000000"/>
                <w:sz w:val="24"/>
                <w:szCs w:val="24"/>
              </w:rPr>
            </w:pPr>
            <w:r>
              <w:rPr>
                <w:color w:val="0D0D0D"/>
                <w:sz w:val="24"/>
                <w:szCs w:val="24"/>
              </w:rPr>
              <w:t>Pupil premium funding carried forward from previous years (enter £0 if not applicable)</w:t>
            </w:r>
          </w:p>
        </w:tc>
        <w:tc>
          <w:tcPr>
            <w:tcW w:w="2960" w:type="dxa"/>
          </w:tcPr>
          <w:p w:rsidR="002D22C2" w:rsidRDefault="00085234">
            <w:pPr>
              <w:pBdr>
                <w:top w:val="nil"/>
                <w:left w:val="nil"/>
                <w:bottom w:val="nil"/>
                <w:right w:val="nil"/>
                <w:between w:val="nil"/>
              </w:pBdr>
              <w:spacing w:before="72"/>
              <w:ind w:left="158"/>
              <w:rPr>
                <w:color w:val="000000"/>
                <w:sz w:val="24"/>
                <w:szCs w:val="24"/>
              </w:rPr>
            </w:pPr>
            <w:r>
              <w:rPr>
                <w:color w:val="000000"/>
                <w:sz w:val="24"/>
                <w:szCs w:val="24"/>
              </w:rPr>
              <w:t>£19000</w:t>
            </w:r>
          </w:p>
        </w:tc>
      </w:tr>
      <w:tr w:rsidR="002D22C2">
        <w:trPr>
          <w:trHeight w:val="1280"/>
        </w:trPr>
        <w:tc>
          <w:tcPr>
            <w:tcW w:w="6520" w:type="dxa"/>
          </w:tcPr>
          <w:p w:rsidR="002D22C2" w:rsidRDefault="000672A0">
            <w:pPr>
              <w:pBdr>
                <w:top w:val="nil"/>
                <w:left w:val="nil"/>
                <w:bottom w:val="nil"/>
                <w:right w:val="nil"/>
                <w:between w:val="nil"/>
              </w:pBdr>
              <w:spacing w:before="59"/>
              <w:ind w:left="169"/>
              <w:rPr>
                <w:b/>
                <w:bCs/>
                <w:color w:val="000000"/>
                <w:sz w:val="24"/>
                <w:szCs w:val="24"/>
              </w:rPr>
            </w:pPr>
            <w:r>
              <w:rPr>
                <w:b/>
                <w:bCs/>
                <w:color w:val="0D0D0D"/>
                <w:sz w:val="24"/>
                <w:szCs w:val="24"/>
              </w:rPr>
              <w:t>Total budget for this academic year</w:t>
            </w:r>
          </w:p>
          <w:p w:rsidR="002D22C2" w:rsidRDefault="000672A0">
            <w:pPr>
              <w:pBdr>
                <w:top w:val="nil"/>
                <w:left w:val="nil"/>
                <w:bottom w:val="nil"/>
                <w:right w:val="nil"/>
                <w:between w:val="nil"/>
              </w:pBdr>
              <w:spacing w:before="60"/>
              <w:ind w:left="169"/>
              <w:rPr>
                <w:color w:val="000000"/>
                <w:sz w:val="24"/>
                <w:szCs w:val="24"/>
              </w:rPr>
            </w:pPr>
            <w:r>
              <w:rPr>
                <w:color w:val="0D0D0D"/>
                <w:sz w:val="24"/>
                <w:szCs w:val="24"/>
              </w:rPr>
              <w:t>If your school is an academy in a trust that pools this funding, state the amount available to your school this academic year</w:t>
            </w:r>
          </w:p>
        </w:tc>
        <w:tc>
          <w:tcPr>
            <w:tcW w:w="2960" w:type="dxa"/>
          </w:tcPr>
          <w:p w:rsidR="002D22C2" w:rsidRDefault="00085234">
            <w:pPr>
              <w:pBdr>
                <w:top w:val="nil"/>
                <w:left w:val="nil"/>
                <w:bottom w:val="nil"/>
                <w:right w:val="nil"/>
                <w:between w:val="nil"/>
              </w:pBdr>
              <w:spacing w:before="59"/>
              <w:ind w:left="158"/>
              <w:rPr>
                <w:color w:val="000000"/>
                <w:sz w:val="24"/>
                <w:szCs w:val="24"/>
              </w:rPr>
            </w:pPr>
            <w:r>
              <w:rPr>
                <w:color w:val="000000"/>
                <w:sz w:val="24"/>
                <w:szCs w:val="24"/>
              </w:rPr>
              <w:t>£225820</w:t>
            </w:r>
          </w:p>
        </w:tc>
      </w:tr>
    </w:tbl>
    <w:p w:rsidR="002D22C2" w:rsidRDefault="002D22C2">
      <w:pPr>
        <w:rPr>
          <w:sz w:val="24"/>
          <w:szCs w:val="24"/>
        </w:rPr>
        <w:sectPr w:rsidR="002D22C2">
          <w:footerReference w:type="default" r:id="rId8"/>
          <w:pgSz w:w="11920" w:h="16840"/>
          <w:pgMar w:top="1060" w:right="1180" w:bottom="960" w:left="1000" w:header="0" w:footer="772" w:gutter="0"/>
          <w:pgNumType w:start="1"/>
          <w:cols w:space="720"/>
        </w:sectPr>
      </w:pPr>
    </w:p>
    <w:p w:rsidR="002D22C2" w:rsidRDefault="000672A0">
      <w:pPr>
        <w:pStyle w:val="Heading1"/>
        <w:ind w:firstLine="133"/>
      </w:pPr>
      <w:r>
        <w:rPr>
          <w:color w:val="0F4E74"/>
        </w:rPr>
        <w:lastRenderedPageBreak/>
        <w:t>Part A: Pupil premium strategy plan</w:t>
      </w:r>
    </w:p>
    <w:p w:rsidR="002D22C2" w:rsidRDefault="002D22C2">
      <w:pPr>
        <w:pBdr>
          <w:top w:val="nil"/>
          <w:left w:val="nil"/>
          <w:bottom w:val="nil"/>
          <w:right w:val="nil"/>
          <w:between w:val="nil"/>
        </w:pBdr>
        <w:spacing w:before="66"/>
        <w:rPr>
          <w:b/>
          <w:bCs/>
          <w:color w:val="000000"/>
          <w:sz w:val="36"/>
          <w:szCs w:val="36"/>
        </w:rPr>
      </w:pPr>
    </w:p>
    <w:p w:rsidR="002D22C2" w:rsidRDefault="000672A0">
      <w:pPr>
        <w:pStyle w:val="Heading2"/>
        <w:ind w:firstLine="133"/>
      </w:pPr>
      <w:r>
        <w:rPr>
          <w:color w:val="0F4E74"/>
        </w:rPr>
        <w:t>Statement of intent</w:t>
      </w:r>
    </w:p>
    <w:p w:rsidR="002D22C2" w:rsidRDefault="000672A0">
      <w:pPr>
        <w:spacing w:before="240" w:after="240"/>
        <w:rPr>
          <w:color w:val="434343"/>
        </w:rPr>
      </w:pPr>
      <w:r>
        <w:rPr>
          <w:color w:val="434343"/>
        </w:rPr>
        <w:t>The core intent of our Pupil Premium strategy is to ensure that disadvantage, rooted in socio-economic or geographical factors, never limits the potential of a pupil at Dene Magna.</w:t>
      </w:r>
    </w:p>
    <w:p w:rsidR="002D22C2" w:rsidRDefault="000672A0">
      <w:pPr>
        <w:spacing w:before="240" w:after="240"/>
        <w:rPr>
          <w:color w:val="434343"/>
        </w:rPr>
      </w:pPr>
      <w:r>
        <w:rPr>
          <w:color w:val="434343"/>
        </w:rPr>
        <w:t>We will actively w</w:t>
      </w:r>
      <w:r>
        <w:rPr>
          <w:color w:val="434343"/>
        </w:rPr>
        <w:t>ork to close the attainment gap between our disadvantaged and non-disadvantaged students, whilst fostering high educational and professional aspirations that match or exceed national expectations, ultimately preparing all pupils to thrive beyond the Forest</w:t>
      </w:r>
      <w:r>
        <w:rPr>
          <w:color w:val="434343"/>
        </w:rPr>
        <w:t xml:space="preserve"> of Dean.</w:t>
      </w:r>
    </w:p>
    <w:p w:rsidR="002D22C2" w:rsidRDefault="000672A0">
      <w:pPr>
        <w:spacing w:before="240" w:after="240"/>
        <w:rPr>
          <w:color w:val="434343"/>
        </w:rPr>
      </w:pPr>
      <w:r>
        <w:rPr>
          <w:color w:val="434343"/>
        </w:rPr>
        <w:t>We commit to a three tiered approach of spending, focused on quality first teaching, evidence based targeted support, and a comprehensive set of wider strategies that address specific local barriers.</w:t>
      </w:r>
    </w:p>
    <w:p w:rsidR="002D22C2" w:rsidRDefault="002D22C2">
      <w:pPr>
        <w:spacing w:before="240" w:after="240"/>
        <w:rPr>
          <w:color w:val="434343"/>
        </w:rPr>
      </w:pPr>
    </w:p>
    <w:p w:rsidR="002D22C2" w:rsidRDefault="000672A0">
      <w:pPr>
        <w:pStyle w:val="Heading2"/>
        <w:spacing w:before="360" w:after="80"/>
        <w:ind w:left="0"/>
        <w:rPr>
          <w:color w:val="434343"/>
          <w:sz w:val="34"/>
          <w:szCs w:val="34"/>
        </w:rPr>
      </w:pPr>
      <w:bookmarkStart w:id="1" w:name="_heading=h.uonzu45o1vhp" w:colFirst="0" w:colLast="0"/>
      <w:bookmarkEnd w:id="1"/>
      <w:r>
        <w:rPr>
          <w:color w:val="434343"/>
          <w:sz w:val="34"/>
          <w:szCs w:val="34"/>
        </w:rPr>
        <w:t>High-Quality Teaching Tier 1: Sustaining Whole-School Impact</w:t>
      </w:r>
    </w:p>
    <w:p w:rsidR="002D22C2" w:rsidRDefault="000672A0">
      <w:pPr>
        <w:spacing w:before="240" w:after="240"/>
        <w:rPr>
          <w:color w:val="434343"/>
        </w:rPr>
      </w:pPr>
      <w:r>
        <w:rPr>
          <w:color w:val="434343"/>
        </w:rPr>
        <w:t>The greatest impact comes from improving the teaching that all students receive, which disproportionately benefits disadvantaged pupils.</w:t>
      </w:r>
    </w:p>
    <w:p w:rsidR="002D22C2" w:rsidRDefault="000672A0">
      <w:pPr>
        <w:pStyle w:val="Heading3"/>
        <w:spacing w:before="280" w:after="80"/>
        <w:ind w:left="360"/>
        <w:rPr>
          <w:color w:val="434343"/>
          <w:sz w:val="26"/>
          <w:szCs w:val="26"/>
        </w:rPr>
      </w:pPr>
      <w:bookmarkStart w:id="2" w:name="_heading=h.shz1w4g10npg" w:colFirst="0" w:colLast="0"/>
      <w:bookmarkEnd w:id="2"/>
      <w:r>
        <w:rPr>
          <w:color w:val="434343"/>
          <w:sz w:val="26"/>
          <w:szCs w:val="26"/>
        </w:rPr>
        <w:t xml:space="preserve">Literacy </w:t>
      </w:r>
      <w:proofErr w:type="gramStart"/>
      <w:r>
        <w:rPr>
          <w:color w:val="434343"/>
          <w:sz w:val="26"/>
          <w:szCs w:val="26"/>
        </w:rPr>
        <w:t>Across</w:t>
      </w:r>
      <w:proofErr w:type="gramEnd"/>
      <w:r>
        <w:rPr>
          <w:color w:val="434343"/>
          <w:sz w:val="26"/>
          <w:szCs w:val="26"/>
        </w:rPr>
        <w:t xml:space="preserve"> the Curriculum (EEF: +5 Months)</w:t>
      </w:r>
    </w:p>
    <w:p w:rsidR="002D22C2" w:rsidRPr="00085234" w:rsidRDefault="000672A0">
      <w:pPr>
        <w:numPr>
          <w:ilvl w:val="0"/>
          <w:numId w:val="9"/>
        </w:numPr>
        <w:spacing w:before="240"/>
        <w:rPr>
          <w:color w:val="434343"/>
        </w:rPr>
      </w:pPr>
      <w:r w:rsidRPr="00085234">
        <w:rPr>
          <w:bCs/>
          <w:color w:val="434343"/>
        </w:rPr>
        <w:t>The Challe</w:t>
      </w:r>
      <w:r w:rsidRPr="00085234">
        <w:rPr>
          <w:bCs/>
          <w:color w:val="434343"/>
        </w:rPr>
        <w:t>nge:</w:t>
      </w:r>
      <w:r w:rsidRPr="00085234">
        <w:rPr>
          <w:color w:val="434343"/>
        </w:rPr>
        <w:t xml:space="preserve"> Secondary Pupil Premium students often enter with </w:t>
      </w:r>
      <w:r w:rsidRPr="00085234">
        <w:rPr>
          <w:bCs/>
          <w:color w:val="434343"/>
        </w:rPr>
        <w:t>significantly lower literacy levels</w:t>
      </w:r>
      <w:r w:rsidRPr="00085234">
        <w:rPr>
          <w:color w:val="434343"/>
        </w:rPr>
        <w:t xml:space="preserve"> than their peers, particularly in </w:t>
      </w:r>
      <w:r w:rsidRPr="00085234">
        <w:rPr>
          <w:bCs/>
          <w:color w:val="434343"/>
        </w:rPr>
        <w:t>reading comprehension and extended writing</w:t>
      </w:r>
      <w:r w:rsidRPr="00085234">
        <w:rPr>
          <w:color w:val="434343"/>
        </w:rPr>
        <w:t>. This gap widens as the curriculum content becomes more complex.</w:t>
      </w:r>
    </w:p>
    <w:p w:rsidR="002D22C2" w:rsidRPr="00085234" w:rsidRDefault="000672A0">
      <w:pPr>
        <w:numPr>
          <w:ilvl w:val="0"/>
          <w:numId w:val="9"/>
        </w:numPr>
        <w:rPr>
          <w:color w:val="434343"/>
        </w:rPr>
      </w:pPr>
      <w:r w:rsidRPr="00085234">
        <w:rPr>
          <w:bCs/>
          <w:color w:val="434343"/>
        </w:rPr>
        <w:t>The Strategy:</w:t>
      </w:r>
      <w:r w:rsidRPr="00085234">
        <w:rPr>
          <w:color w:val="434343"/>
        </w:rPr>
        <w:t xml:space="preserve"> Invest in</w:t>
      </w:r>
      <w:r w:rsidRPr="00085234">
        <w:rPr>
          <w:color w:val="434343"/>
        </w:rPr>
        <w:t xml:space="preserve"> </w:t>
      </w:r>
      <w:r w:rsidRPr="00085234">
        <w:rPr>
          <w:bCs/>
          <w:color w:val="434343"/>
        </w:rPr>
        <w:t>CPD for all subject teachers</w:t>
      </w:r>
      <w:r w:rsidRPr="00085234">
        <w:rPr>
          <w:color w:val="434343"/>
        </w:rPr>
        <w:t xml:space="preserve"> on how to explicitly teach the </w:t>
      </w:r>
      <w:r w:rsidRPr="00085234">
        <w:rPr>
          <w:bCs/>
          <w:color w:val="434343"/>
        </w:rPr>
        <w:t>academic vocabulary</w:t>
      </w:r>
      <w:r w:rsidRPr="00085234">
        <w:rPr>
          <w:color w:val="434343"/>
        </w:rPr>
        <w:t xml:space="preserve"> and </w:t>
      </w:r>
      <w:r w:rsidRPr="00085234">
        <w:rPr>
          <w:bCs/>
          <w:color w:val="434343"/>
        </w:rPr>
        <w:t>disciplinary literacy</w:t>
      </w:r>
      <w:r w:rsidRPr="00085234">
        <w:rPr>
          <w:color w:val="434343"/>
        </w:rPr>
        <w:t xml:space="preserve"> (e.g., reading a History source, writing a scientific report) required in their specific subjects. This ensures literacy is not </w:t>
      </w:r>
      <w:proofErr w:type="spellStart"/>
      <w:r w:rsidRPr="00085234">
        <w:rPr>
          <w:color w:val="434343"/>
        </w:rPr>
        <w:t>siloed</w:t>
      </w:r>
      <w:proofErr w:type="spellEnd"/>
      <w:r w:rsidRPr="00085234">
        <w:rPr>
          <w:color w:val="434343"/>
        </w:rPr>
        <w:t xml:space="preserve"> in English les</w:t>
      </w:r>
      <w:r w:rsidRPr="00085234">
        <w:rPr>
          <w:color w:val="434343"/>
        </w:rPr>
        <w:t>sons.</w:t>
      </w:r>
    </w:p>
    <w:p w:rsidR="002D22C2" w:rsidRPr="00085234" w:rsidRDefault="000672A0">
      <w:pPr>
        <w:numPr>
          <w:ilvl w:val="0"/>
          <w:numId w:val="9"/>
        </w:numPr>
        <w:spacing w:after="240"/>
        <w:rPr>
          <w:color w:val="434343"/>
        </w:rPr>
      </w:pPr>
      <w:r w:rsidRPr="00085234">
        <w:rPr>
          <w:bCs/>
          <w:color w:val="434343"/>
        </w:rPr>
        <w:t>Research Backing:</w:t>
      </w:r>
      <w:r w:rsidRPr="00085234">
        <w:rPr>
          <w:color w:val="434343"/>
        </w:rPr>
        <w:t xml:space="preserve"> </w:t>
      </w:r>
      <w:r w:rsidRPr="00085234">
        <w:rPr>
          <w:bCs/>
          <w:color w:val="434343"/>
        </w:rPr>
        <w:t>Literacy approaches</w:t>
      </w:r>
      <w:r w:rsidRPr="00085234">
        <w:rPr>
          <w:color w:val="434343"/>
        </w:rPr>
        <w:t xml:space="preserve"> in secondary schools are rated highly by the EEF. Effective literacy teaching across the curriculum, with a focus on </w:t>
      </w:r>
      <w:r w:rsidRPr="00085234">
        <w:rPr>
          <w:bCs/>
          <w:color w:val="434343"/>
        </w:rPr>
        <w:t>vocabulary and reading comprehension</w:t>
      </w:r>
      <w:r w:rsidRPr="00085234">
        <w:rPr>
          <w:color w:val="434343"/>
        </w:rPr>
        <w:t xml:space="preserve">, helps </w:t>
      </w:r>
      <w:proofErr w:type="gramStart"/>
      <w:r w:rsidRPr="00085234">
        <w:rPr>
          <w:color w:val="434343"/>
        </w:rPr>
        <w:t>students</w:t>
      </w:r>
      <w:proofErr w:type="gramEnd"/>
      <w:r w:rsidRPr="00085234">
        <w:rPr>
          <w:color w:val="434343"/>
        </w:rPr>
        <w:t xml:space="preserve"> access complex GCSE texts and prepare for </w:t>
      </w:r>
      <w:r w:rsidRPr="00085234">
        <w:rPr>
          <w:color w:val="434343"/>
        </w:rPr>
        <w:t>further study.</w:t>
      </w:r>
    </w:p>
    <w:p w:rsidR="002D22C2" w:rsidRDefault="000672A0">
      <w:pPr>
        <w:pStyle w:val="Heading3"/>
        <w:spacing w:before="280" w:after="80"/>
        <w:ind w:left="720" w:hanging="360"/>
        <w:rPr>
          <w:color w:val="434343"/>
          <w:sz w:val="26"/>
          <w:szCs w:val="26"/>
        </w:rPr>
      </w:pPr>
      <w:bookmarkStart w:id="3" w:name="_heading=h.kgy2a36ilwm2" w:colFirst="0" w:colLast="0"/>
      <w:bookmarkEnd w:id="3"/>
      <w:r>
        <w:rPr>
          <w:color w:val="434343"/>
          <w:sz w:val="26"/>
          <w:szCs w:val="26"/>
        </w:rPr>
        <w:t>Metacognition, Revision &amp; Study Skills (EEF: +8 Months)</w:t>
      </w:r>
    </w:p>
    <w:p w:rsidR="002D22C2" w:rsidRPr="00085234" w:rsidRDefault="000672A0">
      <w:pPr>
        <w:numPr>
          <w:ilvl w:val="0"/>
          <w:numId w:val="10"/>
        </w:numPr>
        <w:spacing w:before="240"/>
        <w:rPr>
          <w:color w:val="434343"/>
        </w:rPr>
      </w:pPr>
      <w:r w:rsidRPr="00085234">
        <w:rPr>
          <w:bCs/>
          <w:color w:val="434343"/>
        </w:rPr>
        <w:t>The Challenge:</w:t>
      </w:r>
      <w:r w:rsidRPr="00085234">
        <w:rPr>
          <w:color w:val="434343"/>
        </w:rPr>
        <w:t xml:space="preserve"> Disadvantaged students often lack the </w:t>
      </w:r>
      <w:r w:rsidRPr="00085234">
        <w:rPr>
          <w:bCs/>
          <w:color w:val="434343"/>
        </w:rPr>
        <w:t>cultural capital</w:t>
      </w:r>
      <w:r w:rsidRPr="00085234">
        <w:rPr>
          <w:color w:val="434343"/>
        </w:rPr>
        <w:t xml:space="preserve"> or parental guidance on effective, independent study and revision techniques, leading to high stress and poor exam </w:t>
      </w:r>
      <w:r w:rsidRPr="00085234">
        <w:rPr>
          <w:color w:val="434343"/>
        </w:rPr>
        <w:t>performance.</w:t>
      </w:r>
    </w:p>
    <w:p w:rsidR="002D22C2" w:rsidRPr="00085234" w:rsidRDefault="000672A0">
      <w:pPr>
        <w:numPr>
          <w:ilvl w:val="0"/>
          <w:numId w:val="10"/>
        </w:numPr>
        <w:rPr>
          <w:color w:val="434343"/>
        </w:rPr>
      </w:pPr>
      <w:r w:rsidRPr="00085234">
        <w:rPr>
          <w:bCs/>
          <w:color w:val="434343"/>
        </w:rPr>
        <w:t>The Strategy:</w:t>
      </w:r>
      <w:r w:rsidRPr="00085234">
        <w:rPr>
          <w:color w:val="434343"/>
        </w:rPr>
        <w:t xml:space="preserve"> Embed explicit teaching of </w:t>
      </w:r>
      <w:r w:rsidRPr="00085234">
        <w:rPr>
          <w:bCs/>
          <w:color w:val="434343"/>
        </w:rPr>
        <w:t>metacognition and self-regulation</w:t>
      </w:r>
      <w:r w:rsidRPr="00085234">
        <w:rPr>
          <w:color w:val="434343"/>
        </w:rPr>
        <w:t xml:space="preserve"> into the curriculum from Year 7, scaling up to structured, evidence-based </w:t>
      </w:r>
      <w:r w:rsidRPr="00085234">
        <w:rPr>
          <w:bCs/>
          <w:color w:val="434343"/>
        </w:rPr>
        <w:t>revision strategies</w:t>
      </w:r>
      <w:r w:rsidRPr="00085234">
        <w:rPr>
          <w:color w:val="434343"/>
        </w:rPr>
        <w:t xml:space="preserve"> (like retrieval practice and spaced learning) in Key Stage 4. This builds </w:t>
      </w:r>
      <w:r w:rsidRPr="00085234">
        <w:rPr>
          <w:color w:val="434343"/>
        </w:rPr>
        <w:t xml:space="preserve">essential </w:t>
      </w:r>
      <w:r w:rsidRPr="00085234">
        <w:rPr>
          <w:bCs/>
          <w:color w:val="434343"/>
        </w:rPr>
        <w:t>real-world skills</w:t>
      </w:r>
      <w:r w:rsidRPr="00085234">
        <w:rPr>
          <w:color w:val="434343"/>
        </w:rPr>
        <w:t xml:space="preserve"> for independence.</w:t>
      </w:r>
    </w:p>
    <w:p w:rsidR="002D22C2" w:rsidRPr="00085234" w:rsidRDefault="000672A0">
      <w:pPr>
        <w:numPr>
          <w:ilvl w:val="0"/>
          <w:numId w:val="10"/>
        </w:numPr>
        <w:rPr>
          <w:color w:val="434343"/>
        </w:rPr>
      </w:pPr>
      <w:r w:rsidRPr="00085234">
        <w:rPr>
          <w:bCs/>
          <w:color w:val="434343"/>
        </w:rPr>
        <w:t>Research Backing:</w:t>
      </w:r>
      <w:r w:rsidRPr="00085234">
        <w:rPr>
          <w:color w:val="434343"/>
        </w:rPr>
        <w:t xml:space="preserve"> </w:t>
      </w:r>
      <w:r w:rsidRPr="00085234">
        <w:rPr>
          <w:bCs/>
          <w:color w:val="434343"/>
        </w:rPr>
        <w:t>Metacognition and Self-Regulation</w:t>
      </w:r>
      <w:r w:rsidRPr="00085234">
        <w:rPr>
          <w:color w:val="434343"/>
        </w:rPr>
        <w:t xml:space="preserve"> are top-rated by the EEF, showing one of the highest impacts at low cost, teaching students </w:t>
      </w:r>
      <w:r w:rsidRPr="00085234">
        <w:rPr>
          <w:i/>
          <w:iCs/>
          <w:color w:val="434343"/>
        </w:rPr>
        <w:t>how</w:t>
      </w:r>
      <w:r w:rsidRPr="00085234">
        <w:rPr>
          <w:color w:val="434343"/>
        </w:rPr>
        <w:t xml:space="preserve"> to learn.</w:t>
      </w:r>
    </w:p>
    <w:p w:rsidR="002D22C2" w:rsidRDefault="002D22C2" w:rsidP="00085234">
      <w:pPr>
        <w:spacing w:after="240"/>
        <w:ind w:left="720"/>
        <w:rPr>
          <w:color w:val="434343"/>
        </w:rPr>
      </w:pPr>
    </w:p>
    <w:p w:rsidR="002D22C2" w:rsidRDefault="000672A0">
      <w:pPr>
        <w:pStyle w:val="Heading2"/>
        <w:spacing w:before="360" w:after="80"/>
        <w:ind w:left="720" w:hanging="360"/>
        <w:rPr>
          <w:color w:val="434343"/>
          <w:sz w:val="34"/>
          <w:szCs w:val="34"/>
        </w:rPr>
      </w:pPr>
      <w:bookmarkStart w:id="4" w:name="_heading=h.m5xxef1tykw0" w:colFirst="0" w:colLast="0"/>
      <w:bookmarkEnd w:id="4"/>
      <w:r>
        <w:rPr>
          <w:color w:val="434343"/>
          <w:sz w:val="34"/>
          <w:szCs w:val="34"/>
        </w:rPr>
        <w:t>Targeted Academic Support Tier 2: Closing the Attai</w:t>
      </w:r>
      <w:r>
        <w:rPr>
          <w:color w:val="434343"/>
          <w:sz w:val="34"/>
          <w:szCs w:val="34"/>
        </w:rPr>
        <w:t>nment Gap</w:t>
      </w:r>
    </w:p>
    <w:p w:rsidR="002D22C2" w:rsidRPr="00085234" w:rsidRDefault="000672A0">
      <w:pPr>
        <w:spacing w:before="240" w:after="240"/>
        <w:rPr>
          <w:bCs/>
          <w:color w:val="434343"/>
        </w:rPr>
      </w:pPr>
      <w:r w:rsidRPr="00085234">
        <w:rPr>
          <w:bCs/>
          <w:color w:val="434343"/>
        </w:rPr>
        <w:t>In secondary school, support must be highly precise to close the gap before high-stakes exams.</w:t>
      </w:r>
    </w:p>
    <w:p w:rsidR="002D22C2" w:rsidRDefault="000672A0">
      <w:pPr>
        <w:pStyle w:val="Heading3"/>
        <w:spacing w:before="280" w:after="80"/>
        <w:ind w:left="720" w:hanging="360"/>
        <w:rPr>
          <w:color w:val="434343"/>
          <w:sz w:val="26"/>
          <w:szCs w:val="26"/>
        </w:rPr>
      </w:pPr>
      <w:bookmarkStart w:id="5" w:name="_heading=h.fg5pchwf63lr" w:colFirst="0" w:colLast="0"/>
      <w:bookmarkEnd w:id="5"/>
      <w:r>
        <w:rPr>
          <w:color w:val="434343"/>
          <w:sz w:val="26"/>
          <w:szCs w:val="26"/>
        </w:rPr>
        <w:lastRenderedPageBreak/>
        <w:t>Structured, High-Quality Tutoring (EEF: +4 to +5 Months)</w:t>
      </w:r>
    </w:p>
    <w:p w:rsidR="002D22C2" w:rsidRPr="00085234" w:rsidRDefault="000672A0">
      <w:pPr>
        <w:numPr>
          <w:ilvl w:val="0"/>
          <w:numId w:val="6"/>
        </w:numPr>
        <w:spacing w:before="240"/>
        <w:rPr>
          <w:bCs/>
          <w:color w:val="434343"/>
        </w:rPr>
      </w:pPr>
      <w:r w:rsidRPr="00085234">
        <w:rPr>
          <w:bCs/>
          <w:color w:val="434343"/>
        </w:rPr>
        <w:t xml:space="preserve">The Challenge: Specific gaps in core subjects (English and </w:t>
      </w:r>
      <w:proofErr w:type="spellStart"/>
      <w:r w:rsidRPr="00085234">
        <w:rPr>
          <w:bCs/>
          <w:color w:val="434343"/>
        </w:rPr>
        <w:t>Maths</w:t>
      </w:r>
      <w:proofErr w:type="spellEnd"/>
      <w:r w:rsidRPr="00085234">
        <w:rPr>
          <w:bCs/>
          <w:color w:val="434343"/>
        </w:rPr>
        <w:t xml:space="preserve">) often prevent Pupil Premium </w:t>
      </w:r>
      <w:r w:rsidRPr="00085234">
        <w:rPr>
          <w:bCs/>
          <w:color w:val="434343"/>
        </w:rPr>
        <w:t>students from achieving a Grade 4 or 5 at GCSE, which are critical gateway qualifications.</w:t>
      </w:r>
    </w:p>
    <w:p w:rsidR="002D22C2" w:rsidRPr="00085234" w:rsidRDefault="000672A0">
      <w:pPr>
        <w:numPr>
          <w:ilvl w:val="0"/>
          <w:numId w:val="6"/>
        </w:numPr>
        <w:rPr>
          <w:bCs/>
          <w:color w:val="434343"/>
        </w:rPr>
      </w:pPr>
      <w:r w:rsidRPr="00085234">
        <w:rPr>
          <w:bCs/>
          <w:color w:val="434343"/>
        </w:rPr>
        <w:t>The Strategy: Implement small-group (3-5 students) or one-to-one tutoring targeted at pupils who are borderline for a Grade 4/5 or for high-</w:t>
      </w:r>
      <w:proofErr w:type="spellStart"/>
      <w:r w:rsidRPr="00085234">
        <w:rPr>
          <w:bCs/>
          <w:color w:val="434343"/>
        </w:rPr>
        <w:t>attainers</w:t>
      </w:r>
      <w:proofErr w:type="spellEnd"/>
      <w:r w:rsidRPr="00085234">
        <w:rPr>
          <w:bCs/>
          <w:color w:val="434343"/>
        </w:rPr>
        <w:t xml:space="preserve"> who are at risk</w:t>
      </w:r>
      <w:r w:rsidRPr="00085234">
        <w:rPr>
          <w:bCs/>
          <w:color w:val="434343"/>
        </w:rPr>
        <w:t xml:space="preserve"> of falling behind their peers. This must be delivered by fully trained tutors (ideally teachers or teaching assistants using structured </w:t>
      </w:r>
      <w:proofErr w:type="spellStart"/>
      <w:r w:rsidRPr="00085234">
        <w:rPr>
          <w:bCs/>
          <w:color w:val="434343"/>
        </w:rPr>
        <w:t>programmes</w:t>
      </w:r>
      <w:proofErr w:type="spellEnd"/>
      <w:r w:rsidRPr="00085234">
        <w:rPr>
          <w:bCs/>
          <w:color w:val="434343"/>
        </w:rPr>
        <w:t>), not just general revision.</w:t>
      </w:r>
    </w:p>
    <w:p w:rsidR="002D22C2" w:rsidRPr="00085234" w:rsidRDefault="000672A0">
      <w:pPr>
        <w:numPr>
          <w:ilvl w:val="0"/>
          <w:numId w:val="6"/>
        </w:numPr>
        <w:spacing w:after="240"/>
        <w:rPr>
          <w:bCs/>
          <w:color w:val="434343"/>
        </w:rPr>
      </w:pPr>
      <w:r w:rsidRPr="00085234">
        <w:rPr>
          <w:bCs/>
          <w:color w:val="434343"/>
        </w:rPr>
        <w:t>Specific Focus for Rural Areas: Address the most common gaps on entry: Tier 2/3 vocabulary and number/algebraic fluency.</w:t>
      </w:r>
    </w:p>
    <w:p w:rsidR="002D22C2" w:rsidRDefault="000672A0">
      <w:pPr>
        <w:pStyle w:val="Heading3"/>
        <w:spacing w:before="280" w:after="80"/>
        <w:ind w:left="360"/>
        <w:rPr>
          <w:color w:val="434343"/>
          <w:sz w:val="26"/>
          <w:szCs w:val="26"/>
        </w:rPr>
      </w:pPr>
      <w:bookmarkStart w:id="6" w:name="_heading=h.2kyczb34ep25" w:colFirst="0" w:colLast="0"/>
      <w:bookmarkEnd w:id="6"/>
      <w:r>
        <w:rPr>
          <w:color w:val="434343"/>
          <w:sz w:val="26"/>
          <w:szCs w:val="26"/>
        </w:rPr>
        <w:t>Effective Use of Digital Technology</w:t>
      </w:r>
    </w:p>
    <w:p w:rsidR="002D22C2" w:rsidRPr="00085234" w:rsidRDefault="000672A0">
      <w:pPr>
        <w:numPr>
          <w:ilvl w:val="0"/>
          <w:numId w:val="1"/>
        </w:numPr>
        <w:spacing w:before="240"/>
        <w:rPr>
          <w:bCs/>
          <w:color w:val="434343"/>
        </w:rPr>
      </w:pPr>
      <w:r w:rsidRPr="00085234">
        <w:rPr>
          <w:bCs/>
          <w:color w:val="434343"/>
        </w:rPr>
        <w:t>The Challenge: Rural poverty can mean poor broadband access or a lack of personal devices at home, creating a "digital divide" that limits homework and independent study.</w:t>
      </w:r>
    </w:p>
    <w:p w:rsidR="002D22C2" w:rsidRPr="00085234" w:rsidRDefault="000672A0">
      <w:pPr>
        <w:numPr>
          <w:ilvl w:val="0"/>
          <w:numId w:val="1"/>
        </w:numPr>
        <w:rPr>
          <w:bCs/>
          <w:color w:val="434343"/>
        </w:rPr>
      </w:pPr>
      <w:r w:rsidRPr="00085234">
        <w:rPr>
          <w:bCs/>
          <w:color w:val="434343"/>
        </w:rPr>
        <w:t xml:space="preserve">The Strategy: Use Pupil Premium funds to </w:t>
      </w:r>
      <w:proofErr w:type="spellStart"/>
      <w:r w:rsidRPr="00085234">
        <w:rPr>
          <w:bCs/>
          <w:color w:val="434343"/>
        </w:rPr>
        <w:t>subsidise</w:t>
      </w:r>
      <w:proofErr w:type="spellEnd"/>
      <w:r w:rsidRPr="00085234">
        <w:rPr>
          <w:bCs/>
          <w:color w:val="434343"/>
        </w:rPr>
        <w:t xml:space="preserve"> or loan devices/laptops to Pupil P</w:t>
      </w:r>
      <w:r w:rsidRPr="00085234">
        <w:rPr>
          <w:bCs/>
          <w:color w:val="434343"/>
        </w:rPr>
        <w:t>remium families, and provide high-quality online learning platforms (e.g., for revision, retrieval practice, or subject-specific diagnostic tools) that complement the curriculum.</w:t>
      </w:r>
    </w:p>
    <w:p w:rsidR="002D22C2" w:rsidRPr="00085234" w:rsidRDefault="000672A0">
      <w:pPr>
        <w:numPr>
          <w:ilvl w:val="0"/>
          <w:numId w:val="1"/>
        </w:numPr>
        <w:rPr>
          <w:bCs/>
          <w:color w:val="434343"/>
        </w:rPr>
      </w:pPr>
      <w:r w:rsidRPr="00085234">
        <w:rPr>
          <w:bCs/>
          <w:color w:val="434343"/>
        </w:rPr>
        <w:t>Research Backing: The EEF notes that the impact of digital technology is high</w:t>
      </w:r>
      <w:r w:rsidRPr="00085234">
        <w:rPr>
          <w:bCs/>
          <w:color w:val="434343"/>
        </w:rPr>
        <w:t>ly variable but can be effective when used to deliver focused teaching or provide feedback.</w:t>
      </w:r>
    </w:p>
    <w:p w:rsidR="002D22C2" w:rsidRDefault="002D22C2" w:rsidP="00085234">
      <w:pPr>
        <w:spacing w:after="240"/>
        <w:ind w:left="720"/>
        <w:rPr>
          <w:b/>
          <w:bCs/>
          <w:color w:val="434343"/>
        </w:rPr>
      </w:pPr>
    </w:p>
    <w:p w:rsidR="002D22C2" w:rsidRDefault="000672A0">
      <w:pPr>
        <w:pStyle w:val="Heading2"/>
        <w:spacing w:before="360" w:after="80"/>
        <w:ind w:left="0"/>
        <w:jc w:val="both"/>
        <w:rPr>
          <w:color w:val="434343"/>
          <w:sz w:val="34"/>
          <w:szCs w:val="34"/>
        </w:rPr>
      </w:pPr>
      <w:bookmarkStart w:id="7" w:name="_heading=h.396nedkr4yb0" w:colFirst="0" w:colLast="0"/>
      <w:bookmarkEnd w:id="7"/>
      <w:r>
        <w:rPr>
          <w:color w:val="434343"/>
          <w:sz w:val="34"/>
          <w:szCs w:val="34"/>
        </w:rPr>
        <w:t>Wider Strategies Tier 3: Real-World Preparation &amp; Aspiration</w:t>
      </w:r>
    </w:p>
    <w:p w:rsidR="002D22C2" w:rsidRDefault="000672A0">
      <w:pPr>
        <w:spacing w:before="240" w:after="240"/>
        <w:jc w:val="both"/>
        <w:rPr>
          <w:color w:val="434343"/>
        </w:rPr>
      </w:pPr>
      <w:r>
        <w:rPr>
          <w:color w:val="434343"/>
        </w:rPr>
        <w:t>These strategies are essential in a rural, deprived context to broaden horizons and ensure readiness t</w:t>
      </w:r>
      <w:r>
        <w:rPr>
          <w:color w:val="434343"/>
        </w:rPr>
        <w:t>o learn.</w:t>
      </w:r>
    </w:p>
    <w:p w:rsidR="002D22C2" w:rsidRDefault="000672A0">
      <w:pPr>
        <w:pStyle w:val="Heading3"/>
        <w:spacing w:before="280" w:after="80"/>
        <w:ind w:left="0"/>
        <w:jc w:val="both"/>
        <w:rPr>
          <w:color w:val="434343"/>
          <w:sz w:val="26"/>
          <w:szCs w:val="26"/>
        </w:rPr>
      </w:pPr>
      <w:bookmarkStart w:id="8" w:name="_heading=h.tclxrxybz34c" w:colFirst="0" w:colLast="0"/>
      <w:bookmarkEnd w:id="8"/>
      <w:r>
        <w:rPr>
          <w:color w:val="434343"/>
          <w:sz w:val="26"/>
          <w:szCs w:val="26"/>
        </w:rPr>
        <w:t>Comprehensive Careers Education &amp; Guidance (EEF: High Impact on NEET)</w:t>
      </w:r>
    </w:p>
    <w:p w:rsidR="002D22C2" w:rsidRPr="00085234" w:rsidRDefault="000672A0">
      <w:pPr>
        <w:numPr>
          <w:ilvl w:val="0"/>
          <w:numId w:val="4"/>
        </w:numPr>
        <w:spacing w:before="240"/>
        <w:rPr>
          <w:color w:val="434343"/>
        </w:rPr>
      </w:pPr>
      <w:r w:rsidRPr="00085234">
        <w:rPr>
          <w:bCs/>
          <w:color w:val="434343"/>
        </w:rPr>
        <w:t>The Challenge:</w:t>
      </w:r>
      <w:r w:rsidRPr="00085234">
        <w:rPr>
          <w:color w:val="434343"/>
        </w:rPr>
        <w:t xml:space="preserve"> Students in the Forest of Dean may have limited local job exposure, leading to low aspirations and a lack of awareness of diverse post-16 pathways (university, hi</w:t>
      </w:r>
      <w:r w:rsidRPr="00085234">
        <w:rPr>
          <w:color w:val="434343"/>
        </w:rPr>
        <w:t xml:space="preserve">gh-level apprenticeships, </w:t>
      </w:r>
      <w:proofErr w:type="gramStart"/>
      <w:r w:rsidRPr="00085234">
        <w:rPr>
          <w:color w:val="434343"/>
        </w:rPr>
        <w:t>technical</w:t>
      </w:r>
      <w:proofErr w:type="gramEnd"/>
      <w:r w:rsidRPr="00085234">
        <w:rPr>
          <w:color w:val="434343"/>
        </w:rPr>
        <w:t xml:space="preserve"> education).</w:t>
      </w:r>
    </w:p>
    <w:p w:rsidR="002D22C2" w:rsidRPr="00085234" w:rsidRDefault="000672A0">
      <w:pPr>
        <w:numPr>
          <w:ilvl w:val="0"/>
          <w:numId w:val="4"/>
        </w:numPr>
        <w:rPr>
          <w:color w:val="434343"/>
        </w:rPr>
      </w:pPr>
      <w:r w:rsidRPr="00085234">
        <w:rPr>
          <w:bCs/>
          <w:color w:val="434343"/>
        </w:rPr>
        <w:t>The Strategy:</w:t>
      </w:r>
      <w:r w:rsidRPr="00085234">
        <w:rPr>
          <w:color w:val="434343"/>
        </w:rPr>
        <w:t xml:space="preserve"> Implement the </w:t>
      </w:r>
      <w:r w:rsidRPr="00085234">
        <w:rPr>
          <w:bCs/>
          <w:color w:val="434343"/>
        </w:rPr>
        <w:t>Gatsby Benchmarks</w:t>
      </w:r>
      <w:r w:rsidRPr="00085234">
        <w:rPr>
          <w:color w:val="434343"/>
        </w:rPr>
        <w:t xml:space="preserve"> for high-quality CEIAG (Careers Education, Information, Advice, and Guidance) as the core strategy:</w:t>
      </w:r>
    </w:p>
    <w:p w:rsidR="002D22C2" w:rsidRPr="00085234" w:rsidRDefault="000672A0">
      <w:pPr>
        <w:numPr>
          <w:ilvl w:val="1"/>
          <w:numId w:val="4"/>
        </w:numPr>
        <w:rPr>
          <w:color w:val="434343"/>
        </w:rPr>
      </w:pPr>
      <w:r w:rsidRPr="00085234">
        <w:rPr>
          <w:bCs/>
          <w:color w:val="434343"/>
        </w:rPr>
        <w:t>Encounters with Employers:</w:t>
      </w:r>
      <w:r w:rsidRPr="00085234">
        <w:rPr>
          <w:color w:val="434343"/>
        </w:rPr>
        <w:t xml:space="preserve"> Arrange frequent, meaningful encoun</w:t>
      </w:r>
      <w:r w:rsidRPr="00085234">
        <w:rPr>
          <w:color w:val="434343"/>
        </w:rPr>
        <w:t xml:space="preserve">ters with employers from a </w:t>
      </w:r>
      <w:r w:rsidRPr="00085234">
        <w:rPr>
          <w:bCs/>
          <w:color w:val="434343"/>
        </w:rPr>
        <w:t>diverse range of sectors</w:t>
      </w:r>
      <w:r w:rsidRPr="00085234">
        <w:rPr>
          <w:color w:val="434343"/>
        </w:rPr>
        <w:t xml:space="preserve"> (not just local industries). Use virtual tours or travel funds to visit city-based firms or universities.</w:t>
      </w:r>
    </w:p>
    <w:p w:rsidR="002D22C2" w:rsidRPr="00085234" w:rsidRDefault="000672A0">
      <w:pPr>
        <w:numPr>
          <w:ilvl w:val="1"/>
          <w:numId w:val="4"/>
        </w:numPr>
        <w:rPr>
          <w:color w:val="434343"/>
        </w:rPr>
      </w:pPr>
      <w:r w:rsidRPr="00085234">
        <w:rPr>
          <w:bCs/>
          <w:color w:val="434343"/>
        </w:rPr>
        <w:t>Experiences of Workplaces:</w:t>
      </w:r>
      <w:r w:rsidRPr="00085234">
        <w:rPr>
          <w:color w:val="434343"/>
        </w:rPr>
        <w:t xml:space="preserve"> Fund </w:t>
      </w:r>
      <w:r w:rsidRPr="00085234">
        <w:rPr>
          <w:bCs/>
          <w:color w:val="434343"/>
        </w:rPr>
        <w:t>work experience</w:t>
      </w:r>
      <w:r w:rsidRPr="00085234">
        <w:rPr>
          <w:color w:val="434343"/>
        </w:rPr>
        <w:t xml:space="preserve"> placements, especially for those who cannot secure</w:t>
      </w:r>
      <w:r w:rsidRPr="00085234">
        <w:rPr>
          <w:color w:val="434343"/>
        </w:rPr>
        <w:t xml:space="preserve"> them through family networks, removing cost and travel barriers.</w:t>
      </w:r>
    </w:p>
    <w:p w:rsidR="002D22C2" w:rsidRPr="00085234" w:rsidRDefault="000672A0">
      <w:pPr>
        <w:numPr>
          <w:ilvl w:val="1"/>
          <w:numId w:val="4"/>
        </w:numPr>
        <w:rPr>
          <w:color w:val="434343"/>
        </w:rPr>
      </w:pPr>
      <w:r w:rsidRPr="00085234">
        <w:rPr>
          <w:bCs/>
          <w:color w:val="434343"/>
        </w:rPr>
        <w:t>Personal Guidance:</w:t>
      </w:r>
      <w:r w:rsidRPr="00085234">
        <w:rPr>
          <w:color w:val="434343"/>
        </w:rPr>
        <w:t xml:space="preserve"> Ensure </w:t>
      </w:r>
      <w:r w:rsidRPr="00085234">
        <w:rPr>
          <w:bCs/>
          <w:color w:val="434343"/>
        </w:rPr>
        <w:t>all</w:t>
      </w:r>
      <w:r w:rsidRPr="00085234">
        <w:rPr>
          <w:color w:val="434343"/>
        </w:rPr>
        <w:t xml:space="preserve"> Pupil Premium students receive </w:t>
      </w:r>
      <w:r w:rsidRPr="00085234">
        <w:rPr>
          <w:bCs/>
          <w:color w:val="434343"/>
        </w:rPr>
        <w:t>multiple, impartial, high-quality 1-to-1 guidance interviews</w:t>
      </w:r>
      <w:r w:rsidRPr="00085234">
        <w:rPr>
          <w:color w:val="434343"/>
        </w:rPr>
        <w:t xml:space="preserve"> with a qualified careers adviser from Year 9 onwards.</w:t>
      </w:r>
    </w:p>
    <w:p w:rsidR="002D22C2" w:rsidRDefault="000672A0">
      <w:pPr>
        <w:numPr>
          <w:ilvl w:val="0"/>
          <w:numId w:val="4"/>
        </w:numPr>
        <w:spacing w:after="240"/>
        <w:rPr>
          <w:color w:val="434343"/>
        </w:rPr>
      </w:pPr>
      <w:r w:rsidRPr="00085234">
        <w:rPr>
          <w:bCs/>
          <w:color w:val="434343"/>
        </w:rPr>
        <w:t>Research Backi</w:t>
      </w:r>
      <w:r w:rsidRPr="00085234">
        <w:rPr>
          <w:bCs/>
          <w:color w:val="434343"/>
        </w:rPr>
        <w:t>ng:</w:t>
      </w:r>
      <w:r w:rsidRPr="00085234">
        <w:rPr>
          <w:color w:val="434343"/>
        </w:rPr>
        <w:t xml:space="preserve"> The Sutton Trust and the Careers &amp; Enterprise Company strongly link high-quality careers guidance (following the Gatsby Benchmarks) to </w:t>
      </w:r>
      <w:r w:rsidRPr="00085234">
        <w:rPr>
          <w:bCs/>
          <w:color w:val="434343"/>
        </w:rPr>
        <w:t>reduced NEET (Not in Education, Employment, or Training) figures</w:t>
      </w:r>
      <w:r w:rsidRPr="00085234">
        <w:rPr>
          <w:color w:val="434343"/>
        </w:rPr>
        <w:t xml:space="preserve"> and increased engagement in education</w:t>
      </w:r>
      <w:r>
        <w:rPr>
          <w:color w:val="434343"/>
        </w:rPr>
        <w:t>.</w:t>
      </w:r>
    </w:p>
    <w:p w:rsidR="002D22C2" w:rsidRDefault="000672A0">
      <w:pPr>
        <w:pStyle w:val="Heading3"/>
        <w:spacing w:before="280" w:after="80"/>
        <w:ind w:left="0"/>
        <w:jc w:val="both"/>
        <w:rPr>
          <w:color w:val="434343"/>
          <w:sz w:val="26"/>
          <w:szCs w:val="26"/>
        </w:rPr>
      </w:pPr>
      <w:bookmarkStart w:id="9" w:name="_heading=h.vropqhaznmbh" w:colFirst="0" w:colLast="0"/>
      <w:bookmarkEnd w:id="9"/>
      <w:r>
        <w:rPr>
          <w:color w:val="434343"/>
          <w:sz w:val="26"/>
          <w:szCs w:val="26"/>
        </w:rPr>
        <w:t>Enhanced SEMH</w:t>
      </w:r>
      <w:r>
        <w:rPr>
          <w:color w:val="434343"/>
          <w:sz w:val="26"/>
          <w:szCs w:val="26"/>
        </w:rPr>
        <w:t xml:space="preserve"> and Pastoral Support</w:t>
      </w:r>
    </w:p>
    <w:p w:rsidR="002D22C2" w:rsidRPr="00085234" w:rsidRDefault="000672A0">
      <w:pPr>
        <w:numPr>
          <w:ilvl w:val="0"/>
          <w:numId w:val="8"/>
        </w:numPr>
        <w:spacing w:before="240"/>
        <w:rPr>
          <w:color w:val="434343"/>
        </w:rPr>
      </w:pPr>
      <w:r w:rsidRPr="00085234">
        <w:rPr>
          <w:bCs/>
          <w:color w:val="434343"/>
        </w:rPr>
        <w:t>The Challenge:</w:t>
      </w:r>
      <w:r w:rsidRPr="00085234">
        <w:rPr>
          <w:color w:val="434343"/>
        </w:rPr>
        <w:t xml:space="preserve"> Poverty and rural isolation can lead to higher levels of </w:t>
      </w:r>
      <w:r w:rsidRPr="00085234">
        <w:rPr>
          <w:bCs/>
          <w:color w:val="434343"/>
        </w:rPr>
        <w:t>anxiety, mental health challenges, and social/emotional barriers</w:t>
      </w:r>
      <w:r w:rsidRPr="00085234">
        <w:rPr>
          <w:color w:val="434343"/>
        </w:rPr>
        <w:t xml:space="preserve"> that disrupt learning. Rural transport issues also exacerbate poor attendance.</w:t>
      </w:r>
    </w:p>
    <w:p w:rsidR="002D22C2" w:rsidRPr="00085234" w:rsidRDefault="000672A0">
      <w:pPr>
        <w:numPr>
          <w:ilvl w:val="0"/>
          <w:numId w:val="8"/>
        </w:numPr>
        <w:rPr>
          <w:color w:val="434343"/>
        </w:rPr>
      </w:pPr>
      <w:r w:rsidRPr="00085234">
        <w:rPr>
          <w:bCs/>
          <w:color w:val="434343"/>
        </w:rPr>
        <w:t>The Strategy:</w:t>
      </w:r>
      <w:r w:rsidRPr="00085234">
        <w:rPr>
          <w:color w:val="434343"/>
        </w:rPr>
        <w:t xml:space="preserve"> Invest in a dedicated </w:t>
      </w:r>
      <w:r w:rsidRPr="00085234">
        <w:rPr>
          <w:bCs/>
          <w:color w:val="434343"/>
        </w:rPr>
        <w:t>Pupil Premium/Pastoral Lead</w:t>
      </w:r>
      <w:r w:rsidRPr="00085234">
        <w:rPr>
          <w:color w:val="434343"/>
        </w:rPr>
        <w:t xml:space="preserve"> and/or a </w:t>
      </w:r>
      <w:r w:rsidRPr="00085234">
        <w:rPr>
          <w:bCs/>
          <w:color w:val="434343"/>
        </w:rPr>
        <w:t>school counsellor</w:t>
      </w:r>
      <w:r w:rsidRPr="00085234">
        <w:rPr>
          <w:color w:val="434343"/>
        </w:rPr>
        <w:t xml:space="preserve"> to provide proactive support. Implement a highly </w:t>
      </w:r>
      <w:proofErr w:type="spellStart"/>
      <w:r w:rsidRPr="00085234">
        <w:rPr>
          <w:color w:val="434343"/>
        </w:rPr>
        <w:t>personalised</w:t>
      </w:r>
      <w:proofErr w:type="spellEnd"/>
      <w:r w:rsidRPr="00085234">
        <w:rPr>
          <w:color w:val="434343"/>
        </w:rPr>
        <w:t xml:space="preserve"> </w:t>
      </w:r>
      <w:r w:rsidRPr="00085234">
        <w:rPr>
          <w:bCs/>
          <w:color w:val="434343"/>
        </w:rPr>
        <w:t>attendance strategy</w:t>
      </w:r>
      <w:r w:rsidRPr="00085234">
        <w:rPr>
          <w:color w:val="434343"/>
        </w:rPr>
        <w:t xml:space="preserve"> that works with families to overcome specific barriers (e.g., travel costs, health appointments)</w:t>
      </w:r>
      <w:r w:rsidRPr="00085234">
        <w:rPr>
          <w:color w:val="434343"/>
        </w:rPr>
        <w:t>.</w:t>
      </w:r>
    </w:p>
    <w:p w:rsidR="002D22C2" w:rsidRDefault="000672A0">
      <w:pPr>
        <w:numPr>
          <w:ilvl w:val="0"/>
          <w:numId w:val="8"/>
        </w:numPr>
        <w:spacing w:after="240"/>
        <w:rPr>
          <w:color w:val="434343"/>
        </w:rPr>
      </w:pPr>
      <w:r w:rsidRPr="00085234">
        <w:rPr>
          <w:bCs/>
          <w:color w:val="434343"/>
        </w:rPr>
        <w:t>Research Backing:</w:t>
      </w:r>
      <w:r w:rsidRPr="00085234">
        <w:rPr>
          <w:color w:val="434343"/>
        </w:rPr>
        <w:t xml:space="preserve"> </w:t>
      </w:r>
      <w:r w:rsidRPr="00085234">
        <w:rPr>
          <w:bCs/>
          <w:color w:val="434343"/>
        </w:rPr>
        <w:t>Social and emotional learning interventions</w:t>
      </w:r>
      <w:r w:rsidRPr="00085234">
        <w:rPr>
          <w:color w:val="434343"/>
        </w:rPr>
        <w:t xml:space="preserve"> have an average</w:t>
      </w:r>
      <w:r>
        <w:rPr>
          <w:color w:val="434343"/>
        </w:rPr>
        <w:t xml:space="preserve"> positive </w:t>
      </w:r>
      <w:r>
        <w:rPr>
          <w:color w:val="434343"/>
        </w:rPr>
        <w:lastRenderedPageBreak/>
        <w:t>effect on academic outcomes (EEF: +3 months), by improving readiness to learn.</w:t>
      </w:r>
    </w:p>
    <w:p w:rsidR="002D22C2" w:rsidRDefault="002D22C2">
      <w:pPr>
        <w:spacing w:before="240" w:after="240"/>
        <w:jc w:val="both"/>
        <w:rPr>
          <w:color w:val="434343"/>
        </w:rPr>
      </w:pPr>
    </w:p>
    <w:p w:rsidR="002D22C2" w:rsidRDefault="000672A0">
      <w:pPr>
        <w:pStyle w:val="Heading2"/>
        <w:spacing w:before="74"/>
        <w:ind w:firstLine="133"/>
      </w:pPr>
      <w:r>
        <w:rPr>
          <w:color w:val="0F4E74"/>
        </w:rPr>
        <w:t>Challenges</w:t>
      </w:r>
    </w:p>
    <w:p w:rsidR="002D22C2" w:rsidRDefault="000672A0">
      <w:pPr>
        <w:spacing w:before="240"/>
        <w:ind w:left="133"/>
        <w:rPr>
          <w:sz w:val="24"/>
          <w:szCs w:val="24"/>
        </w:rPr>
      </w:pPr>
      <w:r>
        <w:rPr>
          <w:sz w:val="24"/>
          <w:szCs w:val="24"/>
        </w:rPr>
        <w:t>This details the key challenges to achievement that we have identified among our disadvantaged pupils.</w:t>
      </w:r>
    </w:p>
    <w:p w:rsidR="002D22C2" w:rsidRDefault="002D22C2">
      <w:pPr>
        <w:pBdr>
          <w:top w:val="nil"/>
          <w:left w:val="nil"/>
          <w:bottom w:val="nil"/>
          <w:right w:val="nil"/>
          <w:between w:val="nil"/>
        </w:pBdr>
        <w:spacing w:before="7"/>
        <w:rPr>
          <w:color w:val="000000"/>
          <w:sz w:val="19"/>
          <w:szCs w:val="19"/>
        </w:rPr>
      </w:pPr>
    </w:p>
    <w:tbl>
      <w:tblPr>
        <w:tblStyle w:val="af7"/>
        <w:tblW w:w="9480" w:type="dxa"/>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20"/>
        <w:gridCol w:w="7860"/>
      </w:tblGrid>
      <w:tr w:rsidR="002D22C2">
        <w:trPr>
          <w:trHeight w:val="680"/>
        </w:trPr>
        <w:tc>
          <w:tcPr>
            <w:tcW w:w="1620" w:type="dxa"/>
            <w:shd w:val="clear" w:color="auto" w:fill="D8E2E8"/>
          </w:tcPr>
          <w:p w:rsidR="002D22C2" w:rsidRDefault="000672A0">
            <w:pPr>
              <w:pBdr>
                <w:top w:val="nil"/>
                <w:left w:val="nil"/>
                <w:bottom w:val="nil"/>
                <w:right w:val="nil"/>
                <w:between w:val="nil"/>
              </w:pBdr>
              <w:spacing w:before="69"/>
              <w:ind w:left="169"/>
              <w:rPr>
                <w:b/>
                <w:bCs/>
                <w:color w:val="000000"/>
                <w:sz w:val="24"/>
                <w:szCs w:val="24"/>
              </w:rPr>
            </w:pPr>
            <w:r>
              <w:rPr>
                <w:b/>
                <w:bCs/>
                <w:color w:val="0D0D0D"/>
                <w:sz w:val="24"/>
                <w:szCs w:val="24"/>
              </w:rPr>
              <w:t>Challenge number</w:t>
            </w:r>
          </w:p>
        </w:tc>
        <w:tc>
          <w:tcPr>
            <w:tcW w:w="7860" w:type="dxa"/>
            <w:shd w:val="clear" w:color="auto" w:fill="D8E2E8"/>
          </w:tcPr>
          <w:p w:rsidR="002D22C2" w:rsidRDefault="000672A0">
            <w:pPr>
              <w:pBdr>
                <w:top w:val="nil"/>
                <w:left w:val="nil"/>
                <w:bottom w:val="nil"/>
                <w:right w:val="nil"/>
                <w:between w:val="nil"/>
              </w:pBdr>
              <w:spacing w:before="69"/>
              <w:ind w:left="169"/>
              <w:rPr>
                <w:b/>
                <w:bCs/>
                <w:color w:val="000000"/>
                <w:sz w:val="24"/>
                <w:szCs w:val="24"/>
              </w:rPr>
            </w:pPr>
            <w:r>
              <w:rPr>
                <w:b/>
                <w:bCs/>
                <w:color w:val="0D0D0D"/>
                <w:sz w:val="24"/>
                <w:szCs w:val="24"/>
              </w:rPr>
              <w:t>Detail of challenge</w:t>
            </w:r>
          </w:p>
        </w:tc>
      </w:tr>
      <w:tr w:rsidR="002D22C2">
        <w:trPr>
          <w:trHeight w:val="359"/>
        </w:trPr>
        <w:tc>
          <w:tcPr>
            <w:tcW w:w="1620" w:type="dxa"/>
          </w:tcPr>
          <w:p w:rsidR="002D22C2" w:rsidRDefault="000672A0">
            <w:pPr>
              <w:pBdr>
                <w:top w:val="nil"/>
                <w:left w:val="nil"/>
                <w:bottom w:val="nil"/>
                <w:right w:val="nil"/>
                <w:between w:val="nil"/>
              </w:pBdr>
              <w:spacing w:before="56"/>
              <w:ind w:left="169"/>
              <w:rPr>
                <w:color w:val="000000"/>
              </w:rPr>
            </w:pPr>
            <w:r>
              <w:rPr>
                <w:color w:val="0D0D0D"/>
              </w:rPr>
              <w:t>1</w:t>
            </w:r>
          </w:p>
        </w:tc>
        <w:tc>
          <w:tcPr>
            <w:tcW w:w="7860" w:type="dxa"/>
          </w:tcPr>
          <w:p w:rsidR="002D22C2" w:rsidRDefault="000672A0">
            <w:pPr>
              <w:pBdr>
                <w:top w:val="nil"/>
                <w:left w:val="nil"/>
                <w:bottom w:val="nil"/>
                <w:right w:val="nil"/>
                <w:between w:val="nil"/>
              </w:pBdr>
              <w:spacing w:before="56"/>
              <w:ind w:left="169"/>
              <w:rPr>
                <w:color w:val="000000"/>
              </w:rPr>
            </w:pPr>
            <w:r>
              <w:rPr>
                <w:color w:val="0D0D0D"/>
              </w:rPr>
              <w:t>Persistent absenteeism - 26% of PP are Persistent absenteeism with 18% nearly.</w:t>
            </w:r>
          </w:p>
        </w:tc>
      </w:tr>
      <w:tr w:rsidR="002D22C2">
        <w:trPr>
          <w:trHeight w:val="880"/>
        </w:trPr>
        <w:tc>
          <w:tcPr>
            <w:tcW w:w="1620" w:type="dxa"/>
          </w:tcPr>
          <w:p w:rsidR="002D22C2" w:rsidRDefault="000672A0">
            <w:pPr>
              <w:pBdr>
                <w:top w:val="nil"/>
                <w:left w:val="nil"/>
                <w:bottom w:val="nil"/>
                <w:right w:val="nil"/>
                <w:between w:val="nil"/>
              </w:pBdr>
              <w:spacing w:before="64"/>
              <w:ind w:left="169"/>
              <w:rPr>
                <w:color w:val="000000"/>
              </w:rPr>
            </w:pPr>
            <w:r>
              <w:rPr>
                <w:color w:val="0D0D0D"/>
              </w:rPr>
              <w:t>2</w:t>
            </w:r>
          </w:p>
        </w:tc>
        <w:tc>
          <w:tcPr>
            <w:tcW w:w="7860" w:type="dxa"/>
          </w:tcPr>
          <w:p w:rsidR="002D22C2" w:rsidRDefault="000672A0">
            <w:pPr>
              <w:pBdr>
                <w:top w:val="nil"/>
                <w:left w:val="nil"/>
                <w:bottom w:val="nil"/>
                <w:right w:val="nil"/>
                <w:between w:val="nil"/>
              </w:pBdr>
              <w:spacing w:before="64"/>
              <w:rPr>
                <w:color w:val="000000"/>
              </w:rPr>
            </w:pPr>
            <w:r>
              <w:t>Students self believe that they can be better, achieve better, be successful.</w:t>
            </w:r>
          </w:p>
        </w:tc>
      </w:tr>
      <w:tr w:rsidR="002D22C2">
        <w:trPr>
          <w:trHeight w:val="620"/>
        </w:trPr>
        <w:tc>
          <w:tcPr>
            <w:tcW w:w="1620" w:type="dxa"/>
          </w:tcPr>
          <w:p w:rsidR="002D22C2" w:rsidRDefault="000672A0">
            <w:pPr>
              <w:pBdr>
                <w:top w:val="nil"/>
                <w:left w:val="nil"/>
                <w:bottom w:val="nil"/>
                <w:right w:val="nil"/>
                <w:between w:val="nil"/>
              </w:pBdr>
              <w:spacing w:before="57"/>
              <w:ind w:left="169"/>
              <w:rPr>
                <w:color w:val="000000"/>
              </w:rPr>
            </w:pPr>
            <w:r>
              <w:rPr>
                <w:color w:val="0D0D0D"/>
              </w:rPr>
              <w:t>3</w:t>
            </w:r>
          </w:p>
        </w:tc>
        <w:tc>
          <w:tcPr>
            <w:tcW w:w="7860" w:type="dxa"/>
          </w:tcPr>
          <w:p w:rsidR="002D22C2" w:rsidRDefault="000672A0">
            <w:pPr>
              <w:pBdr>
                <w:top w:val="nil"/>
                <w:left w:val="nil"/>
                <w:bottom w:val="nil"/>
                <w:right w:val="nil"/>
                <w:between w:val="nil"/>
              </w:pBdr>
              <w:spacing w:before="57"/>
              <w:ind w:left="169" w:right="146"/>
              <w:rPr>
                <w:color w:val="000000"/>
              </w:rPr>
            </w:pPr>
            <w:r>
              <w:rPr>
                <w:color w:val="0D0D0D"/>
              </w:rPr>
              <w:t>Limited literacy and numeracy – poor basic entry literacy and numeracy skills, poor literacy and numeracy in the home.</w:t>
            </w:r>
          </w:p>
        </w:tc>
      </w:tr>
      <w:tr w:rsidR="002D22C2">
        <w:trPr>
          <w:trHeight w:val="859"/>
        </w:trPr>
        <w:tc>
          <w:tcPr>
            <w:tcW w:w="1620" w:type="dxa"/>
          </w:tcPr>
          <w:p w:rsidR="002D22C2" w:rsidRDefault="000672A0">
            <w:pPr>
              <w:pBdr>
                <w:top w:val="nil"/>
                <w:left w:val="nil"/>
                <w:bottom w:val="nil"/>
                <w:right w:val="nil"/>
                <w:between w:val="nil"/>
              </w:pBdr>
              <w:spacing w:before="58"/>
              <w:ind w:left="169"/>
              <w:rPr>
                <w:color w:val="000000"/>
              </w:rPr>
            </w:pPr>
            <w:r>
              <w:rPr>
                <w:color w:val="0D0D0D"/>
              </w:rPr>
              <w:t>4</w:t>
            </w:r>
          </w:p>
        </w:tc>
        <w:tc>
          <w:tcPr>
            <w:tcW w:w="7860" w:type="dxa"/>
          </w:tcPr>
          <w:p w:rsidR="002D22C2" w:rsidRDefault="000672A0">
            <w:pPr>
              <w:spacing w:before="240" w:after="240"/>
              <w:rPr>
                <w:color w:val="000000"/>
              </w:rPr>
            </w:pPr>
            <w:r>
              <w:rPr>
                <w:color w:val="434343"/>
              </w:rPr>
              <w:t xml:space="preserve">Poverty and rural isolation can lead to higher levels of anxiety, mental health challenges, and social/emotional barriers that disrupt learning. </w:t>
            </w:r>
          </w:p>
        </w:tc>
      </w:tr>
      <w:tr w:rsidR="002D22C2">
        <w:trPr>
          <w:trHeight w:val="880"/>
        </w:trPr>
        <w:tc>
          <w:tcPr>
            <w:tcW w:w="1620" w:type="dxa"/>
          </w:tcPr>
          <w:p w:rsidR="002D22C2" w:rsidRDefault="000672A0">
            <w:pPr>
              <w:pBdr>
                <w:top w:val="nil"/>
                <w:left w:val="nil"/>
                <w:bottom w:val="nil"/>
                <w:right w:val="nil"/>
                <w:between w:val="nil"/>
              </w:pBdr>
              <w:spacing w:before="66"/>
              <w:ind w:left="169"/>
              <w:rPr>
                <w:color w:val="000000"/>
              </w:rPr>
            </w:pPr>
            <w:r>
              <w:rPr>
                <w:color w:val="0D0D0D"/>
              </w:rPr>
              <w:t>5</w:t>
            </w:r>
          </w:p>
        </w:tc>
        <w:tc>
          <w:tcPr>
            <w:tcW w:w="7860" w:type="dxa"/>
          </w:tcPr>
          <w:p w:rsidR="002D22C2" w:rsidRDefault="00085234">
            <w:pPr>
              <w:pBdr>
                <w:top w:val="nil"/>
                <w:left w:val="nil"/>
                <w:bottom w:val="nil"/>
                <w:right w:val="nil"/>
                <w:between w:val="nil"/>
              </w:pBdr>
              <w:spacing w:before="66"/>
              <w:ind w:left="169"/>
              <w:rPr>
                <w:color w:val="000000"/>
              </w:rPr>
            </w:pPr>
            <w:r>
              <w:rPr>
                <w:color w:val="0D0D0D"/>
              </w:rPr>
              <w:t xml:space="preserve">Aspirations - </w:t>
            </w:r>
            <w:r w:rsidR="000672A0">
              <w:rPr>
                <w:color w:val="0D0D0D"/>
              </w:rPr>
              <w:t>the area has limited opportunities for disadvantaged students to break the generational cycle of educational and workplace underachievement.</w:t>
            </w:r>
          </w:p>
        </w:tc>
      </w:tr>
    </w:tbl>
    <w:p w:rsidR="002D22C2" w:rsidRDefault="002D22C2">
      <w:pPr>
        <w:pBdr>
          <w:top w:val="nil"/>
          <w:left w:val="nil"/>
          <w:bottom w:val="nil"/>
          <w:right w:val="nil"/>
          <w:between w:val="nil"/>
        </w:pBdr>
        <w:rPr>
          <w:color w:val="000000"/>
          <w:sz w:val="24"/>
          <w:szCs w:val="24"/>
        </w:rPr>
      </w:pPr>
    </w:p>
    <w:p w:rsidR="002D22C2" w:rsidRDefault="002D22C2">
      <w:pPr>
        <w:pBdr>
          <w:top w:val="nil"/>
          <w:left w:val="nil"/>
          <w:bottom w:val="nil"/>
          <w:right w:val="nil"/>
          <w:between w:val="nil"/>
        </w:pBdr>
        <w:spacing w:before="51"/>
        <w:rPr>
          <w:color w:val="000000"/>
          <w:sz w:val="24"/>
          <w:szCs w:val="24"/>
        </w:rPr>
      </w:pPr>
    </w:p>
    <w:p w:rsidR="002D22C2" w:rsidRDefault="000672A0">
      <w:pPr>
        <w:pStyle w:val="Heading2"/>
        <w:ind w:firstLine="133"/>
      </w:pPr>
      <w:r>
        <w:rPr>
          <w:color w:val="0F4E74"/>
        </w:rPr>
        <w:t>Intended outcomes</w:t>
      </w:r>
    </w:p>
    <w:p w:rsidR="002D22C2" w:rsidRDefault="000672A0">
      <w:pPr>
        <w:spacing w:before="240" w:line="288" w:lineRule="auto"/>
        <w:ind w:left="133"/>
        <w:rPr>
          <w:sz w:val="24"/>
          <w:szCs w:val="24"/>
        </w:rPr>
      </w:pPr>
      <w:r>
        <w:rPr>
          <w:sz w:val="24"/>
          <w:szCs w:val="24"/>
        </w:rPr>
        <w:t xml:space="preserve">This explains the outcomes we are aiming for </w:t>
      </w:r>
      <w:r>
        <w:rPr>
          <w:b/>
          <w:bCs/>
          <w:sz w:val="24"/>
          <w:szCs w:val="24"/>
        </w:rPr>
        <w:t>by the end of our current strategy plan</w:t>
      </w:r>
      <w:r>
        <w:rPr>
          <w:sz w:val="24"/>
          <w:szCs w:val="24"/>
        </w:rPr>
        <w:t>, and how we will measure whether they have been achieved.</w:t>
      </w:r>
    </w:p>
    <w:p w:rsidR="002D22C2" w:rsidRDefault="002D22C2">
      <w:pPr>
        <w:pBdr>
          <w:top w:val="nil"/>
          <w:left w:val="nil"/>
          <w:bottom w:val="nil"/>
          <w:right w:val="nil"/>
          <w:between w:val="nil"/>
        </w:pBdr>
        <w:spacing w:before="11"/>
        <w:rPr>
          <w:color w:val="000000"/>
          <w:sz w:val="19"/>
          <w:szCs w:val="19"/>
        </w:rPr>
      </w:pPr>
    </w:p>
    <w:tbl>
      <w:tblPr>
        <w:tblStyle w:val="af8"/>
        <w:tblW w:w="9480" w:type="dxa"/>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20"/>
        <w:gridCol w:w="4660"/>
      </w:tblGrid>
      <w:tr w:rsidR="002D22C2">
        <w:trPr>
          <w:trHeight w:val="400"/>
        </w:trPr>
        <w:tc>
          <w:tcPr>
            <w:tcW w:w="4820" w:type="dxa"/>
            <w:shd w:val="clear" w:color="auto" w:fill="D8E2E8"/>
          </w:tcPr>
          <w:p w:rsidR="002D22C2" w:rsidRDefault="000672A0">
            <w:pPr>
              <w:pBdr>
                <w:top w:val="nil"/>
                <w:left w:val="nil"/>
                <w:bottom w:val="nil"/>
                <w:right w:val="nil"/>
                <w:between w:val="nil"/>
              </w:pBdr>
              <w:spacing w:before="66"/>
              <w:ind w:left="169"/>
              <w:rPr>
                <w:b/>
                <w:bCs/>
                <w:color w:val="000000"/>
                <w:sz w:val="24"/>
                <w:szCs w:val="24"/>
              </w:rPr>
            </w:pPr>
            <w:r>
              <w:rPr>
                <w:b/>
                <w:bCs/>
                <w:color w:val="0D0D0D"/>
                <w:sz w:val="24"/>
                <w:szCs w:val="24"/>
              </w:rPr>
              <w:t>Intended outcome</w:t>
            </w:r>
          </w:p>
        </w:tc>
        <w:tc>
          <w:tcPr>
            <w:tcW w:w="4660" w:type="dxa"/>
            <w:shd w:val="clear" w:color="auto" w:fill="D8E2E8"/>
          </w:tcPr>
          <w:p w:rsidR="002D22C2" w:rsidRDefault="000672A0">
            <w:pPr>
              <w:pBdr>
                <w:top w:val="nil"/>
                <w:left w:val="nil"/>
                <w:bottom w:val="nil"/>
                <w:right w:val="nil"/>
                <w:between w:val="nil"/>
              </w:pBdr>
              <w:spacing w:before="66"/>
              <w:ind w:left="164"/>
              <w:rPr>
                <w:b/>
                <w:bCs/>
                <w:color w:val="000000"/>
                <w:sz w:val="24"/>
                <w:szCs w:val="24"/>
              </w:rPr>
            </w:pPr>
            <w:r>
              <w:rPr>
                <w:b/>
                <w:bCs/>
                <w:color w:val="0D0D0D"/>
                <w:sz w:val="24"/>
                <w:szCs w:val="24"/>
              </w:rPr>
              <w:t>Success criteria</w:t>
            </w:r>
          </w:p>
        </w:tc>
      </w:tr>
      <w:tr w:rsidR="002D22C2">
        <w:trPr>
          <w:trHeight w:val="1379"/>
        </w:trPr>
        <w:tc>
          <w:tcPr>
            <w:tcW w:w="4820" w:type="dxa"/>
          </w:tcPr>
          <w:p w:rsidR="002D22C2" w:rsidRDefault="000672A0">
            <w:pPr>
              <w:pBdr>
                <w:top w:val="nil"/>
                <w:left w:val="nil"/>
                <w:bottom w:val="nil"/>
                <w:right w:val="nil"/>
                <w:between w:val="nil"/>
              </w:pBdr>
              <w:spacing w:before="57"/>
              <w:ind w:right="161"/>
              <w:rPr>
                <w:color w:val="000000"/>
              </w:rPr>
            </w:pPr>
            <w:r>
              <w:rPr>
                <w:color w:val="0D0D0D"/>
              </w:rPr>
              <w:t>Over the next five years all students to have positive progress for P8 and they achieve their Megs</w:t>
            </w:r>
          </w:p>
        </w:tc>
        <w:tc>
          <w:tcPr>
            <w:tcW w:w="4660" w:type="dxa"/>
          </w:tcPr>
          <w:p w:rsidR="002D22C2" w:rsidRDefault="000672A0">
            <w:pPr>
              <w:spacing w:before="57"/>
              <w:ind w:left="164" w:right="161"/>
              <w:rPr>
                <w:color w:val="000000"/>
              </w:rPr>
            </w:pPr>
            <w:r>
              <w:rPr>
                <w:color w:val="0D0D0D"/>
              </w:rPr>
              <w:t>Over the next three years average PP progress will be positive working towards 80% of individual students being positive.  For a 5 year plan for all students to have a positive progress and achieve Megs</w:t>
            </w:r>
          </w:p>
        </w:tc>
      </w:tr>
      <w:tr w:rsidR="002D22C2">
        <w:trPr>
          <w:trHeight w:val="620"/>
        </w:trPr>
        <w:tc>
          <w:tcPr>
            <w:tcW w:w="4820" w:type="dxa"/>
          </w:tcPr>
          <w:p w:rsidR="002D22C2" w:rsidRDefault="000672A0">
            <w:pPr>
              <w:pBdr>
                <w:top w:val="nil"/>
                <w:left w:val="nil"/>
                <w:bottom w:val="nil"/>
                <w:right w:val="nil"/>
                <w:between w:val="nil"/>
              </w:pBdr>
              <w:spacing w:before="63"/>
              <w:ind w:left="109"/>
              <w:rPr>
                <w:color w:val="000000"/>
              </w:rPr>
            </w:pPr>
            <w:r>
              <w:rPr>
                <w:color w:val="0D0D0D"/>
              </w:rPr>
              <w:t>PP students to have similar or better attendance than non PP</w:t>
            </w:r>
          </w:p>
        </w:tc>
        <w:tc>
          <w:tcPr>
            <w:tcW w:w="4660" w:type="dxa"/>
          </w:tcPr>
          <w:p w:rsidR="002D22C2" w:rsidRDefault="000672A0">
            <w:pPr>
              <w:pBdr>
                <w:top w:val="nil"/>
                <w:left w:val="nil"/>
                <w:bottom w:val="nil"/>
                <w:right w:val="nil"/>
                <w:between w:val="nil"/>
              </w:pBdr>
              <w:spacing w:before="63"/>
              <w:ind w:left="164" w:right="172"/>
              <w:rPr>
                <w:color w:val="000000"/>
              </w:rPr>
            </w:pPr>
            <w:r>
              <w:t xml:space="preserve">Over the next 3 years, attendance issues to be forensically </w:t>
            </w:r>
            <w:proofErr w:type="spellStart"/>
            <w:r>
              <w:t>analysed</w:t>
            </w:r>
            <w:proofErr w:type="spellEnd"/>
            <w:r>
              <w:t xml:space="preserve"> and barriers to learning identified and addressed.  Gap better PP and non PP to be no more than 2%, with no difference in attendance in 5 years. </w:t>
            </w:r>
          </w:p>
        </w:tc>
      </w:tr>
      <w:tr w:rsidR="002D22C2">
        <w:trPr>
          <w:trHeight w:val="619"/>
        </w:trPr>
        <w:tc>
          <w:tcPr>
            <w:tcW w:w="4820" w:type="dxa"/>
          </w:tcPr>
          <w:p w:rsidR="002D22C2" w:rsidRDefault="000672A0">
            <w:pPr>
              <w:pBdr>
                <w:top w:val="nil"/>
                <w:left w:val="nil"/>
                <w:bottom w:val="nil"/>
                <w:right w:val="nil"/>
                <w:between w:val="nil"/>
              </w:pBdr>
              <w:spacing w:before="64"/>
              <w:ind w:left="109"/>
              <w:rPr>
                <w:color w:val="000000"/>
              </w:rPr>
            </w:pPr>
            <w:r>
              <w:rPr>
                <w:color w:val="0D0D0D"/>
              </w:rPr>
              <w:t>Students to be more successful and moving onto next level education with the skills and tools to succeed.</w:t>
            </w:r>
          </w:p>
        </w:tc>
        <w:tc>
          <w:tcPr>
            <w:tcW w:w="4660" w:type="dxa"/>
          </w:tcPr>
          <w:p w:rsidR="002D22C2" w:rsidRDefault="000672A0" w:rsidP="00085234">
            <w:pPr>
              <w:pBdr>
                <w:top w:val="nil"/>
                <w:left w:val="nil"/>
                <w:bottom w:val="nil"/>
                <w:right w:val="nil"/>
                <w:between w:val="nil"/>
              </w:pBdr>
              <w:spacing w:before="64"/>
              <w:ind w:left="164"/>
              <w:rPr>
                <w:color w:val="000000"/>
              </w:rPr>
            </w:pPr>
            <w:r>
              <w:rPr>
                <w:color w:val="0D0D0D"/>
              </w:rPr>
              <w:t>Roll out the Dream Maker program</w:t>
            </w:r>
            <w:r w:rsidR="00085234">
              <w:rPr>
                <w:color w:val="0D0D0D"/>
              </w:rPr>
              <w:t xml:space="preserve"> </w:t>
            </w:r>
            <w:r>
              <w:rPr>
                <w:color w:val="0D0D0D"/>
              </w:rPr>
              <w:t xml:space="preserve">to all of </w:t>
            </w:r>
            <w:r w:rsidR="00085234">
              <w:rPr>
                <w:color w:val="0D0D0D"/>
              </w:rPr>
              <w:t>key stage</w:t>
            </w:r>
            <w:r>
              <w:rPr>
                <w:color w:val="0D0D0D"/>
              </w:rPr>
              <w:t xml:space="preserve"> 3.  With all students being explicitly taught the skills and qualities required to be successful</w:t>
            </w:r>
            <w:r>
              <w:rPr>
                <w:color w:val="0D0D0D"/>
              </w:rPr>
              <w:t xml:space="preserve">.  This is tracked on </w:t>
            </w:r>
            <w:proofErr w:type="spellStart"/>
            <w:r>
              <w:rPr>
                <w:color w:val="0D0D0D"/>
              </w:rPr>
              <w:t>Bromcom</w:t>
            </w:r>
            <w:proofErr w:type="spellEnd"/>
            <w:r>
              <w:rPr>
                <w:color w:val="0D0D0D"/>
              </w:rPr>
              <w:t xml:space="preserve"> with 60% achieving a gold, 30% silver and 10% bronze award over the next three years. </w:t>
            </w:r>
          </w:p>
        </w:tc>
      </w:tr>
      <w:tr w:rsidR="002D22C2">
        <w:trPr>
          <w:trHeight w:val="620"/>
        </w:trPr>
        <w:tc>
          <w:tcPr>
            <w:tcW w:w="4820" w:type="dxa"/>
          </w:tcPr>
          <w:p w:rsidR="002D22C2" w:rsidRDefault="000672A0">
            <w:pPr>
              <w:pBdr>
                <w:top w:val="nil"/>
                <w:left w:val="nil"/>
                <w:bottom w:val="nil"/>
                <w:right w:val="nil"/>
                <w:between w:val="nil"/>
              </w:pBdr>
              <w:spacing w:before="65"/>
              <w:ind w:left="109" w:right="161"/>
              <w:rPr>
                <w:color w:val="000000"/>
              </w:rPr>
            </w:pPr>
            <w:r>
              <w:rPr>
                <w:color w:val="0D0D0D"/>
              </w:rPr>
              <w:lastRenderedPageBreak/>
              <w:t>Improved reading ages at KS3 to be in line with actual age in order for a fair start to KS4</w:t>
            </w:r>
          </w:p>
        </w:tc>
        <w:tc>
          <w:tcPr>
            <w:tcW w:w="4660" w:type="dxa"/>
          </w:tcPr>
          <w:p w:rsidR="002D22C2" w:rsidRDefault="000672A0">
            <w:pPr>
              <w:pBdr>
                <w:top w:val="nil"/>
                <w:left w:val="nil"/>
                <w:bottom w:val="nil"/>
                <w:right w:val="nil"/>
                <w:between w:val="nil"/>
              </w:pBdr>
              <w:spacing w:before="65"/>
              <w:ind w:left="164" w:right="186"/>
              <w:rPr>
                <w:color w:val="0D0D0D"/>
              </w:rPr>
            </w:pPr>
            <w:r>
              <w:rPr>
                <w:color w:val="0D0D0D"/>
              </w:rPr>
              <w:t xml:space="preserve">Students identified early using NGRT reading ages in year 7.  Students placed into different groups of readers and interventions are put in place and tracked.  </w:t>
            </w:r>
          </w:p>
          <w:p w:rsidR="002D22C2" w:rsidRDefault="000672A0">
            <w:pPr>
              <w:pBdr>
                <w:top w:val="nil"/>
                <w:left w:val="nil"/>
                <w:bottom w:val="nil"/>
                <w:right w:val="nil"/>
                <w:between w:val="nil"/>
              </w:pBdr>
              <w:spacing w:before="65"/>
              <w:ind w:left="164" w:right="186"/>
              <w:rPr>
                <w:color w:val="0D0D0D"/>
              </w:rPr>
            </w:pPr>
            <w:r>
              <w:rPr>
                <w:color w:val="0D0D0D"/>
              </w:rPr>
              <w:t xml:space="preserve">90% of students to be GCSE read by the end of Year 9 </w:t>
            </w:r>
          </w:p>
        </w:tc>
      </w:tr>
      <w:tr w:rsidR="002D22C2">
        <w:trPr>
          <w:trHeight w:val="620"/>
        </w:trPr>
        <w:tc>
          <w:tcPr>
            <w:tcW w:w="4820" w:type="dxa"/>
          </w:tcPr>
          <w:p w:rsidR="002D22C2" w:rsidRDefault="000672A0" w:rsidP="00085234">
            <w:pPr>
              <w:pBdr>
                <w:top w:val="nil"/>
                <w:left w:val="nil"/>
                <w:bottom w:val="nil"/>
                <w:right w:val="nil"/>
                <w:between w:val="nil"/>
              </w:pBdr>
              <w:spacing w:before="65"/>
              <w:ind w:left="109" w:right="161"/>
              <w:rPr>
                <w:color w:val="0D0D0D"/>
              </w:rPr>
            </w:pPr>
            <w:r>
              <w:rPr>
                <w:color w:val="0D0D0D"/>
              </w:rPr>
              <w:t xml:space="preserve">Mental health </w:t>
            </w:r>
            <w:r w:rsidR="00085234">
              <w:rPr>
                <w:color w:val="0D0D0D"/>
              </w:rPr>
              <w:t>support due to being in a rural community and lack of resources.</w:t>
            </w:r>
          </w:p>
        </w:tc>
        <w:tc>
          <w:tcPr>
            <w:tcW w:w="4660" w:type="dxa"/>
          </w:tcPr>
          <w:p w:rsidR="002D22C2" w:rsidRDefault="000672A0">
            <w:pPr>
              <w:pBdr>
                <w:top w:val="nil"/>
                <w:left w:val="nil"/>
                <w:bottom w:val="nil"/>
                <w:right w:val="nil"/>
                <w:between w:val="nil"/>
              </w:pBdr>
              <w:spacing w:before="65"/>
              <w:ind w:right="186"/>
              <w:rPr>
                <w:color w:val="0D0D0D"/>
              </w:rPr>
            </w:pPr>
            <w:r>
              <w:rPr>
                <w:color w:val="0D0D0D"/>
              </w:rPr>
              <w:t>R</w:t>
            </w:r>
            <w:r>
              <w:rPr>
                <w:color w:val="0D0D0D"/>
              </w:rPr>
              <w:t xml:space="preserve">SHE - students identifying issues and know where to seek help.  Tracked through </w:t>
            </w:r>
            <w:proofErr w:type="spellStart"/>
            <w:r w:rsidR="00085234">
              <w:rPr>
                <w:color w:val="0D0D0D"/>
              </w:rPr>
              <w:t>MyConcern</w:t>
            </w:r>
            <w:proofErr w:type="spellEnd"/>
          </w:p>
          <w:p w:rsidR="002D22C2" w:rsidRDefault="000672A0">
            <w:pPr>
              <w:pBdr>
                <w:top w:val="nil"/>
                <w:left w:val="nil"/>
                <w:bottom w:val="nil"/>
                <w:right w:val="nil"/>
                <w:between w:val="nil"/>
              </w:pBdr>
              <w:spacing w:before="65"/>
              <w:ind w:right="186"/>
              <w:rPr>
                <w:color w:val="0D0D0D"/>
              </w:rPr>
            </w:pPr>
            <w:r>
              <w:rPr>
                <w:color w:val="0D0D0D"/>
              </w:rPr>
              <w:t xml:space="preserve">Targeted support for groups of students on anxiety, social skills </w:t>
            </w:r>
          </w:p>
        </w:tc>
      </w:tr>
    </w:tbl>
    <w:p w:rsidR="002D22C2" w:rsidRDefault="002D22C2">
      <w:pPr>
        <w:sectPr w:rsidR="002D22C2">
          <w:pgSz w:w="11920" w:h="16840"/>
          <w:pgMar w:top="1060" w:right="1180" w:bottom="960" w:left="1000" w:header="0" w:footer="772" w:gutter="0"/>
          <w:cols w:space="720"/>
        </w:sectPr>
      </w:pPr>
    </w:p>
    <w:p w:rsidR="002D22C2" w:rsidRDefault="000672A0">
      <w:pPr>
        <w:pStyle w:val="Heading2"/>
        <w:spacing w:before="74"/>
        <w:ind w:firstLine="133"/>
      </w:pPr>
      <w:r>
        <w:rPr>
          <w:color w:val="0F4E74"/>
        </w:rPr>
        <w:lastRenderedPageBreak/>
        <w:t>Activity in this academic year</w:t>
      </w:r>
    </w:p>
    <w:p w:rsidR="002D22C2" w:rsidRDefault="000672A0">
      <w:pPr>
        <w:pStyle w:val="Heading4"/>
        <w:ind w:firstLine="133"/>
      </w:pPr>
      <w:r>
        <w:rPr>
          <w:color w:val="0D0D0D"/>
        </w:rPr>
        <w:t>This details how we intend to spend our pupil p</w:t>
      </w:r>
      <w:r>
        <w:rPr>
          <w:color w:val="0D0D0D"/>
        </w:rPr>
        <w:t>remium (and recovery premium funding)</w:t>
      </w:r>
    </w:p>
    <w:p w:rsidR="002D22C2" w:rsidRDefault="000672A0">
      <w:pPr>
        <w:spacing w:before="55"/>
        <w:ind w:left="133"/>
        <w:rPr>
          <w:sz w:val="24"/>
          <w:szCs w:val="24"/>
        </w:rPr>
      </w:pPr>
      <w:proofErr w:type="gramStart"/>
      <w:r w:rsidRPr="00085234">
        <w:rPr>
          <w:bCs/>
          <w:color w:val="0D0D0D"/>
          <w:sz w:val="24"/>
          <w:szCs w:val="24"/>
        </w:rPr>
        <w:t>this</w:t>
      </w:r>
      <w:proofErr w:type="gramEnd"/>
      <w:r w:rsidRPr="00085234">
        <w:rPr>
          <w:bCs/>
          <w:color w:val="0D0D0D"/>
          <w:sz w:val="24"/>
          <w:szCs w:val="24"/>
        </w:rPr>
        <w:t xml:space="preserve"> academic year</w:t>
      </w:r>
      <w:r>
        <w:rPr>
          <w:b/>
          <w:bCs/>
          <w:color w:val="0D0D0D"/>
          <w:sz w:val="24"/>
          <w:szCs w:val="24"/>
        </w:rPr>
        <w:t xml:space="preserve"> </w:t>
      </w:r>
      <w:r>
        <w:rPr>
          <w:color w:val="0D0D0D"/>
          <w:sz w:val="24"/>
          <w:szCs w:val="24"/>
        </w:rPr>
        <w:t>to address the challenges listed above.</w:t>
      </w:r>
    </w:p>
    <w:p w:rsidR="002D22C2" w:rsidRDefault="002D22C2">
      <w:pPr>
        <w:pBdr>
          <w:top w:val="nil"/>
          <w:left w:val="nil"/>
          <w:bottom w:val="nil"/>
          <w:right w:val="nil"/>
          <w:between w:val="nil"/>
        </w:pBdr>
        <w:spacing w:before="259"/>
        <w:rPr>
          <w:color w:val="000000"/>
          <w:sz w:val="24"/>
          <w:szCs w:val="24"/>
        </w:rPr>
      </w:pPr>
    </w:p>
    <w:p w:rsidR="002D22C2" w:rsidRDefault="000672A0">
      <w:pPr>
        <w:pStyle w:val="Heading3"/>
        <w:ind w:firstLine="133"/>
      </w:pPr>
      <w:r>
        <w:rPr>
          <w:color w:val="0F4E74"/>
        </w:rPr>
        <w:t>Teaching (for example, CPD, recruitment and retention)</w:t>
      </w:r>
    </w:p>
    <w:p w:rsidR="002D22C2" w:rsidRDefault="00085234">
      <w:pPr>
        <w:spacing w:before="240"/>
        <w:ind w:left="133"/>
        <w:rPr>
          <w:color w:val="0D0D0D"/>
          <w:sz w:val="24"/>
          <w:szCs w:val="24"/>
        </w:rPr>
      </w:pPr>
      <w:r>
        <w:rPr>
          <w:color w:val="0D0D0D"/>
          <w:sz w:val="24"/>
          <w:szCs w:val="24"/>
        </w:rPr>
        <w:t>Budgeted cost: £148,061</w:t>
      </w:r>
    </w:p>
    <w:p w:rsidR="006D5718" w:rsidRDefault="006D5718">
      <w:pPr>
        <w:spacing w:before="240"/>
        <w:ind w:left="133"/>
        <w:rPr>
          <w:color w:val="0D0D0D"/>
          <w:sz w:val="24"/>
          <w:szCs w:val="24"/>
        </w:rPr>
      </w:pPr>
    </w:p>
    <w:tbl>
      <w:tblPr>
        <w:tblStyle w:val="TableGrid"/>
        <w:tblW w:w="0" w:type="auto"/>
        <w:tblInd w:w="133" w:type="dxa"/>
        <w:tblLook w:val="04A0" w:firstRow="1" w:lastRow="0" w:firstColumn="1" w:lastColumn="0" w:noHBand="0" w:noVBand="1"/>
      </w:tblPr>
      <w:tblGrid>
        <w:gridCol w:w="3198"/>
        <w:gridCol w:w="4461"/>
        <w:gridCol w:w="1938"/>
      </w:tblGrid>
      <w:tr w:rsidR="006D5718" w:rsidTr="00085234">
        <w:tc>
          <w:tcPr>
            <w:tcW w:w="3198" w:type="dxa"/>
          </w:tcPr>
          <w:p w:rsidR="006D5718" w:rsidRDefault="006D5718" w:rsidP="006D5718">
            <w:pPr>
              <w:pBdr>
                <w:top w:val="nil"/>
                <w:left w:val="nil"/>
                <w:bottom w:val="nil"/>
                <w:right w:val="nil"/>
                <w:between w:val="nil"/>
              </w:pBdr>
              <w:spacing w:before="72"/>
              <w:ind w:left="169"/>
              <w:rPr>
                <w:b/>
                <w:bCs/>
                <w:color w:val="000000"/>
                <w:sz w:val="24"/>
                <w:szCs w:val="24"/>
              </w:rPr>
            </w:pPr>
            <w:r>
              <w:rPr>
                <w:b/>
                <w:bCs/>
                <w:color w:val="0D0D0D"/>
                <w:sz w:val="24"/>
                <w:szCs w:val="24"/>
              </w:rPr>
              <w:t>Activity</w:t>
            </w:r>
          </w:p>
        </w:tc>
        <w:tc>
          <w:tcPr>
            <w:tcW w:w="4461" w:type="dxa"/>
          </w:tcPr>
          <w:p w:rsidR="006D5718" w:rsidRDefault="006D5718" w:rsidP="006D5718">
            <w:pPr>
              <w:pBdr>
                <w:top w:val="nil"/>
                <w:left w:val="nil"/>
                <w:bottom w:val="nil"/>
                <w:right w:val="nil"/>
                <w:between w:val="nil"/>
              </w:pBdr>
              <w:spacing w:before="72"/>
              <w:ind w:left="174"/>
              <w:rPr>
                <w:b/>
                <w:bCs/>
                <w:color w:val="000000"/>
                <w:sz w:val="24"/>
                <w:szCs w:val="24"/>
              </w:rPr>
            </w:pPr>
            <w:r>
              <w:rPr>
                <w:b/>
                <w:bCs/>
                <w:color w:val="0D0D0D"/>
                <w:sz w:val="24"/>
                <w:szCs w:val="24"/>
              </w:rPr>
              <w:t>Evidence that supports this approach</w:t>
            </w:r>
          </w:p>
        </w:tc>
        <w:tc>
          <w:tcPr>
            <w:tcW w:w="1938" w:type="dxa"/>
          </w:tcPr>
          <w:p w:rsidR="006D5718" w:rsidRDefault="006D5718" w:rsidP="006D5718">
            <w:pPr>
              <w:pBdr>
                <w:top w:val="nil"/>
                <w:left w:val="nil"/>
                <w:bottom w:val="nil"/>
                <w:right w:val="nil"/>
                <w:between w:val="nil"/>
              </w:pBdr>
              <w:spacing w:before="72"/>
              <w:ind w:left="158" w:right="165"/>
              <w:rPr>
                <w:b/>
                <w:bCs/>
                <w:color w:val="000000"/>
                <w:sz w:val="24"/>
                <w:szCs w:val="24"/>
              </w:rPr>
            </w:pPr>
            <w:r>
              <w:rPr>
                <w:b/>
                <w:bCs/>
                <w:color w:val="0D0D0D"/>
                <w:sz w:val="24"/>
                <w:szCs w:val="24"/>
              </w:rPr>
              <w:t>Challenge number(s) addressed</w:t>
            </w:r>
          </w:p>
        </w:tc>
      </w:tr>
      <w:tr w:rsidR="006D5718" w:rsidTr="00085234">
        <w:tc>
          <w:tcPr>
            <w:tcW w:w="3198" w:type="dxa"/>
          </w:tcPr>
          <w:p w:rsidR="006D5718" w:rsidRDefault="006D5718" w:rsidP="006D5718">
            <w:pPr>
              <w:spacing w:before="240"/>
              <w:rPr>
                <w:color w:val="0D0D0D"/>
                <w:sz w:val="24"/>
                <w:szCs w:val="24"/>
              </w:rPr>
            </w:pPr>
            <w:r>
              <w:t xml:space="preserve">Disciplinary Literacy (Word Walls &amp; </w:t>
            </w:r>
            <w:proofErr w:type="spellStart"/>
            <w:r>
              <w:t>Frayer</w:t>
            </w:r>
            <w:proofErr w:type="spellEnd"/>
            <w:r>
              <w:t xml:space="preserve"> Models)</w:t>
            </w:r>
          </w:p>
        </w:tc>
        <w:tc>
          <w:tcPr>
            <w:tcW w:w="4461" w:type="dxa"/>
          </w:tcPr>
          <w:p w:rsidR="006D5718" w:rsidRDefault="006D5718" w:rsidP="006D5718">
            <w:pPr>
              <w:spacing w:before="240"/>
              <w:rPr>
                <w:color w:val="0D0D0D"/>
                <w:sz w:val="24"/>
                <w:szCs w:val="24"/>
              </w:rPr>
            </w:pPr>
            <w:r>
              <w:t xml:space="preserve">The </w:t>
            </w:r>
            <w:r w:rsidRPr="00085234">
              <w:rPr>
                <w:bCs/>
              </w:rPr>
              <w:t>EEF "Improving Literacy in Secondary Schools</w:t>
            </w:r>
            <w:r>
              <w:rPr>
                <w:b/>
                <w:bCs/>
              </w:rPr>
              <w:t>"</w:t>
            </w:r>
            <w:r>
              <w:t xml:space="preserve"> guidance report states that explicit vocabulary instruction is one of the most effective ways to support disadvantaged students.</w:t>
            </w:r>
            <w:r>
              <w:t xml:space="preserve"> R</w:t>
            </w:r>
            <w:r>
              <w:t xml:space="preserve">esearch by </w:t>
            </w:r>
            <w:r>
              <w:rPr>
                <w:i/>
                <w:iCs/>
              </w:rPr>
              <w:t xml:space="preserve">Hart &amp; </w:t>
            </w:r>
            <w:proofErr w:type="spellStart"/>
            <w:r>
              <w:rPr>
                <w:i/>
                <w:iCs/>
              </w:rPr>
              <w:t>Risley</w:t>
            </w:r>
            <w:proofErr w:type="spellEnd"/>
            <w:r>
              <w:t xml:space="preserve"> (the "30 million word gap") highlights that children from disadvantaged backgrounds hear significantly fewer unique words. In rural areas with lower social mobility, students may not encounter "Tier 3" (academic) language outside of school. Using </w:t>
            </w:r>
            <w:proofErr w:type="spellStart"/>
            <w:r>
              <w:t>Frayer</w:t>
            </w:r>
            <w:proofErr w:type="spellEnd"/>
            <w:r>
              <w:t xml:space="preserve"> models explicitly bridges this gap.</w:t>
            </w:r>
          </w:p>
        </w:tc>
        <w:tc>
          <w:tcPr>
            <w:tcW w:w="1938" w:type="dxa"/>
          </w:tcPr>
          <w:p w:rsidR="006D5718" w:rsidRDefault="00085234" w:rsidP="006D5718">
            <w:pPr>
              <w:spacing w:before="240"/>
              <w:rPr>
                <w:color w:val="0D0D0D"/>
                <w:sz w:val="24"/>
                <w:szCs w:val="24"/>
              </w:rPr>
            </w:pPr>
            <w:r>
              <w:rPr>
                <w:color w:val="0D0D0D"/>
                <w:sz w:val="24"/>
                <w:szCs w:val="24"/>
              </w:rPr>
              <w:t>1,2&amp;3</w:t>
            </w:r>
          </w:p>
        </w:tc>
      </w:tr>
      <w:tr w:rsidR="006D5718" w:rsidTr="00085234">
        <w:tc>
          <w:tcPr>
            <w:tcW w:w="3198" w:type="dxa"/>
          </w:tcPr>
          <w:p w:rsidR="006D5718" w:rsidRPr="006D5718" w:rsidRDefault="006D5718" w:rsidP="006D5718">
            <w:pPr>
              <w:spacing w:before="240"/>
              <w:rPr>
                <w:b/>
                <w:color w:val="0D0D0D"/>
                <w:sz w:val="24"/>
                <w:szCs w:val="24"/>
              </w:rPr>
            </w:pPr>
            <w:r>
              <w:t>"Think-Aloud" Modeling (Metacognition)</w:t>
            </w:r>
          </w:p>
        </w:tc>
        <w:tc>
          <w:tcPr>
            <w:tcW w:w="4461" w:type="dxa"/>
          </w:tcPr>
          <w:p w:rsidR="006D5718" w:rsidRDefault="006D5718" w:rsidP="006D5718">
            <w:pPr>
              <w:pStyle w:val="NormalWeb"/>
            </w:pPr>
            <w:r>
              <w:rPr>
                <w:rFonts w:hAnsi="Symbol"/>
              </w:rPr>
              <w:t></w:t>
            </w:r>
            <w:r>
              <w:t xml:space="preserve">  The </w:t>
            </w:r>
            <w:r w:rsidRPr="00085234">
              <w:rPr>
                <w:bCs/>
              </w:rPr>
              <w:t>EEF "Metacognition and Self-Regulation"</w:t>
            </w:r>
            <w:r>
              <w:t xml:space="preserve"> guidance report identifies </w:t>
            </w:r>
            <w:proofErr w:type="spellStart"/>
            <w:r>
              <w:rPr>
                <w:i/>
                <w:iCs/>
              </w:rPr>
              <w:t>modeling</w:t>
            </w:r>
            <w:proofErr w:type="spellEnd"/>
            <w:r>
              <w:t xml:space="preserve"> as the second crucial step in the seven-step model </w:t>
            </w:r>
          </w:p>
          <w:p w:rsidR="006D5718" w:rsidRDefault="006D5718" w:rsidP="006D5718">
            <w:pPr>
              <w:pStyle w:val="NormalWeb"/>
            </w:pPr>
            <w:r>
              <w:t xml:space="preserve">Metacognition strategies have a very high impact of </w:t>
            </w:r>
            <w:r>
              <w:rPr>
                <w:b/>
                <w:bCs/>
              </w:rPr>
              <w:t xml:space="preserve">+7 </w:t>
            </w:r>
            <w:r w:rsidRPr="00085234">
              <w:rPr>
                <w:bCs/>
              </w:rPr>
              <w:t>months' additional progress</w:t>
            </w:r>
            <w:r>
              <w:t xml:space="preserve"> at </w:t>
            </w:r>
          </w:p>
          <w:p w:rsidR="006D5718" w:rsidRDefault="006D5718" w:rsidP="006D5718">
            <w:pPr>
              <w:pStyle w:val="NormalWeb"/>
            </w:pPr>
            <w:r>
              <w:t xml:space="preserve">Students from families with no history of Higher Education (common in areas of long-term deprivation) often lack models of </w:t>
            </w:r>
            <w:r>
              <w:rPr>
                <w:i/>
                <w:iCs/>
              </w:rPr>
              <w:t>how</w:t>
            </w:r>
            <w:r>
              <w:t xml:space="preserve"> to study or solve complex academic problems. "Think-</w:t>
            </w:r>
            <w:proofErr w:type="spellStart"/>
            <w:r>
              <w:t>alouds</w:t>
            </w:r>
            <w:proofErr w:type="spellEnd"/>
            <w:r>
              <w:t>" make the invisible thinking processes of an expert (the teacher) visible to the student.</w:t>
            </w:r>
          </w:p>
          <w:p w:rsidR="006D5718" w:rsidRPr="006D5718" w:rsidRDefault="006D5718" w:rsidP="006D5718">
            <w:pPr>
              <w:spacing w:before="240"/>
              <w:rPr>
                <w:color w:val="0D0D0D"/>
                <w:sz w:val="24"/>
                <w:szCs w:val="24"/>
              </w:rPr>
            </w:pPr>
          </w:p>
        </w:tc>
        <w:tc>
          <w:tcPr>
            <w:tcW w:w="1938" w:type="dxa"/>
          </w:tcPr>
          <w:p w:rsidR="006D5718" w:rsidRDefault="00085234" w:rsidP="006D5718">
            <w:pPr>
              <w:spacing w:before="240"/>
              <w:rPr>
                <w:color w:val="0D0D0D"/>
                <w:sz w:val="24"/>
                <w:szCs w:val="24"/>
              </w:rPr>
            </w:pPr>
            <w:r>
              <w:rPr>
                <w:color w:val="0D0D0D"/>
                <w:sz w:val="24"/>
                <w:szCs w:val="24"/>
              </w:rPr>
              <w:t>1 &amp; 2</w:t>
            </w:r>
          </w:p>
        </w:tc>
      </w:tr>
      <w:tr w:rsidR="006D5718" w:rsidTr="00085234">
        <w:tc>
          <w:tcPr>
            <w:tcW w:w="3198" w:type="dxa"/>
          </w:tcPr>
          <w:p w:rsidR="006D5718" w:rsidRDefault="00085234" w:rsidP="006D5718">
            <w:pPr>
              <w:spacing w:before="240"/>
              <w:rPr>
                <w:color w:val="0D0D0D"/>
                <w:sz w:val="24"/>
                <w:szCs w:val="24"/>
              </w:rPr>
            </w:pPr>
            <w:proofErr w:type="spellStart"/>
            <w:r>
              <w:t>Oracy</w:t>
            </w:r>
            <w:proofErr w:type="spellEnd"/>
            <w:r>
              <w:t xml:space="preserve"> &amp; Debate</w:t>
            </w:r>
          </w:p>
        </w:tc>
        <w:tc>
          <w:tcPr>
            <w:tcW w:w="4461" w:type="dxa"/>
          </w:tcPr>
          <w:p w:rsidR="00085234" w:rsidRPr="00085234" w:rsidRDefault="00085234" w:rsidP="00085234">
            <w:pPr>
              <w:widowControl/>
              <w:spacing w:before="100" w:beforeAutospacing="1" w:after="100" w:afterAutospacing="1"/>
              <w:rPr>
                <w:rFonts w:ascii="Times New Roman" w:eastAsia="Times New Roman" w:hAnsi="Times New Roman" w:cs="Times New Roman"/>
                <w:sz w:val="24"/>
                <w:szCs w:val="24"/>
                <w:lang w:val="en-GB"/>
              </w:rPr>
            </w:pPr>
            <w:r w:rsidRPr="00085234">
              <w:rPr>
                <w:rFonts w:ascii="Times New Roman" w:eastAsia="Times New Roman" w:hAnsi="Times New Roman" w:cs="Times New Roman"/>
                <w:bCs/>
                <w:sz w:val="24"/>
                <w:szCs w:val="24"/>
                <w:lang w:val="en-GB"/>
              </w:rPr>
              <w:t>The Evidence:</w:t>
            </w:r>
            <w:r w:rsidRPr="00085234">
              <w:rPr>
                <w:rFonts w:ascii="Times New Roman" w:eastAsia="Times New Roman" w:hAnsi="Times New Roman" w:cs="Times New Roman"/>
                <w:sz w:val="24"/>
                <w:szCs w:val="24"/>
                <w:lang w:val="en-GB"/>
              </w:rPr>
              <w:t xml:space="preserve"> The </w:t>
            </w:r>
            <w:r w:rsidRPr="00085234">
              <w:rPr>
                <w:rFonts w:ascii="Times New Roman" w:eastAsia="Times New Roman" w:hAnsi="Times New Roman" w:cs="Times New Roman"/>
                <w:bCs/>
                <w:sz w:val="24"/>
                <w:szCs w:val="24"/>
                <w:lang w:val="en-GB"/>
              </w:rPr>
              <w:t>EEF Toolkit</w:t>
            </w:r>
            <w:r w:rsidRPr="00085234">
              <w:rPr>
                <w:rFonts w:ascii="Times New Roman" w:eastAsia="Times New Roman" w:hAnsi="Times New Roman" w:cs="Times New Roman"/>
                <w:sz w:val="24"/>
                <w:szCs w:val="24"/>
                <w:lang w:val="en-GB"/>
              </w:rPr>
              <w:t xml:space="preserve"> highlights "Oral Language Interventions." </w:t>
            </w:r>
            <w:r w:rsidRPr="00085234">
              <w:rPr>
                <w:rFonts w:ascii="Times New Roman" w:eastAsia="Times New Roman" w:hAnsi="Times New Roman" w:cs="Times New Roman"/>
                <w:bCs/>
                <w:sz w:val="24"/>
                <w:szCs w:val="24"/>
                <w:lang w:val="en-GB"/>
              </w:rPr>
              <w:t>Impact Data:</w:t>
            </w:r>
            <w:r w:rsidRPr="00085234">
              <w:rPr>
                <w:rFonts w:ascii="Times New Roman" w:eastAsia="Times New Roman" w:hAnsi="Times New Roman" w:cs="Times New Roman"/>
                <w:sz w:val="24"/>
                <w:szCs w:val="24"/>
                <w:lang w:val="en-GB"/>
              </w:rPr>
              <w:t xml:space="preserve"> These interventions show an impact of </w:t>
            </w:r>
            <w:r w:rsidRPr="00085234">
              <w:rPr>
                <w:rFonts w:ascii="Times New Roman" w:eastAsia="Times New Roman" w:hAnsi="Times New Roman" w:cs="Times New Roman"/>
                <w:bCs/>
                <w:sz w:val="24"/>
                <w:szCs w:val="24"/>
                <w:lang w:val="en-GB"/>
              </w:rPr>
              <w:t>+6 months</w:t>
            </w:r>
            <w:r w:rsidRPr="00085234">
              <w:rPr>
                <w:rFonts w:ascii="Times New Roman" w:eastAsia="Times New Roman" w:hAnsi="Times New Roman" w:cs="Times New Roman"/>
                <w:sz w:val="24"/>
                <w:szCs w:val="24"/>
                <w:lang w:val="en-GB"/>
              </w:rPr>
              <w:t xml:space="preserve">.  </w:t>
            </w:r>
          </w:p>
          <w:p w:rsidR="00085234" w:rsidRPr="00085234" w:rsidRDefault="00085234" w:rsidP="00085234">
            <w:pPr>
              <w:widowControl/>
              <w:spacing w:before="100" w:beforeAutospacing="1" w:after="100" w:afterAutospacing="1"/>
              <w:rPr>
                <w:rFonts w:ascii="Times New Roman" w:eastAsia="Times New Roman" w:hAnsi="Times New Roman" w:cs="Times New Roman"/>
                <w:sz w:val="24"/>
                <w:szCs w:val="24"/>
                <w:lang w:val="en-GB"/>
              </w:rPr>
            </w:pPr>
            <w:r w:rsidRPr="00085234">
              <w:rPr>
                <w:rFonts w:ascii="Times New Roman" w:eastAsia="Times New Roman" w:hAnsi="Times New Roman" w:cs="Times New Roman"/>
                <w:bCs/>
                <w:sz w:val="24"/>
                <w:szCs w:val="24"/>
                <w:lang w:val="en-GB"/>
              </w:rPr>
              <w:t>Why for Rural/Deprived Context:</w:t>
            </w:r>
            <w:r w:rsidRPr="00085234">
              <w:rPr>
                <w:rFonts w:ascii="Times New Roman" w:eastAsia="Times New Roman" w:hAnsi="Times New Roman" w:cs="Times New Roman"/>
                <w:sz w:val="24"/>
                <w:szCs w:val="24"/>
                <w:lang w:val="en-GB"/>
              </w:rPr>
              <w:t xml:space="preserve"> The </w:t>
            </w:r>
            <w:proofErr w:type="spellStart"/>
            <w:r w:rsidRPr="00085234">
              <w:rPr>
                <w:rFonts w:ascii="Times New Roman" w:eastAsia="Times New Roman" w:hAnsi="Times New Roman" w:cs="Times New Roman"/>
                <w:i/>
                <w:iCs/>
                <w:sz w:val="24"/>
                <w:szCs w:val="24"/>
                <w:lang w:val="en-GB"/>
              </w:rPr>
              <w:t>Oracy</w:t>
            </w:r>
            <w:proofErr w:type="spellEnd"/>
            <w:r w:rsidRPr="00085234">
              <w:rPr>
                <w:rFonts w:ascii="Times New Roman" w:eastAsia="Times New Roman" w:hAnsi="Times New Roman" w:cs="Times New Roman"/>
                <w:i/>
                <w:iCs/>
                <w:sz w:val="24"/>
                <w:szCs w:val="24"/>
                <w:lang w:val="en-GB"/>
              </w:rPr>
              <w:t xml:space="preserve"> All-Party Parliamentary Group</w:t>
            </w:r>
            <w:r w:rsidRPr="00085234">
              <w:rPr>
                <w:rFonts w:ascii="Times New Roman" w:eastAsia="Times New Roman" w:hAnsi="Times New Roman" w:cs="Times New Roman"/>
                <w:sz w:val="24"/>
                <w:szCs w:val="24"/>
                <w:lang w:val="en-GB"/>
              </w:rPr>
              <w:t xml:space="preserve"> (APPG) found that the "</w:t>
            </w:r>
            <w:proofErr w:type="spellStart"/>
            <w:r w:rsidRPr="00085234">
              <w:rPr>
                <w:rFonts w:ascii="Times New Roman" w:eastAsia="Times New Roman" w:hAnsi="Times New Roman" w:cs="Times New Roman"/>
                <w:sz w:val="24"/>
                <w:szCs w:val="24"/>
                <w:lang w:val="en-GB"/>
              </w:rPr>
              <w:t>oracy</w:t>
            </w:r>
            <w:proofErr w:type="spellEnd"/>
            <w:r w:rsidRPr="00085234">
              <w:rPr>
                <w:rFonts w:ascii="Times New Roman" w:eastAsia="Times New Roman" w:hAnsi="Times New Roman" w:cs="Times New Roman"/>
                <w:sz w:val="24"/>
                <w:szCs w:val="24"/>
                <w:lang w:val="en-GB"/>
              </w:rPr>
              <w:t xml:space="preserve"> gap" is a </w:t>
            </w:r>
            <w:r w:rsidRPr="00085234">
              <w:rPr>
                <w:rFonts w:ascii="Times New Roman" w:eastAsia="Times New Roman" w:hAnsi="Times New Roman" w:cs="Times New Roman"/>
                <w:sz w:val="24"/>
                <w:szCs w:val="24"/>
                <w:lang w:val="en-GB"/>
              </w:rPr>
              <w:lastRenderedPageBreak/>
              <w:t>significant barrier to social mobility. In rural areas, students may have fewer opportunities to engage in formal debate compared to urban peers.</w:t>
            </w:r>
          </w:p>
          <w:p w:rsidR="006D5718" w:rsidRDefault="006D5718" w:rsidP="006D5718">
            <w:pPr>
              <w:spacing w:before="240"/>
              <w:rPr>
                <w:color w:val="0D0D0D"/>
                <w:sz w:val="24"/>
                <w:szCs w:val="24"/>
              </w:rPr>
            </w:pPr>
          </w:p>
        </w:tc>
        <w:tc>
          <w:tcPr>
            <w:tcW w:w="1938" w:type="dxa"/>
          </w:tcPr>
          <w:p w:rsidR="006D5718" w:rsidRDefault="00085234" w:rsidP="006D5718">
            <w:pPr>
              <w:spacing w:before="240"/>
              <w:rPr>
                <w:color w:val="0D0D0D"/>
                <w:sz w:val="24"/>
                <w:szCs w:val="24"/>
              </w:rPr>
            </w:pPr>
            <w:r>
              <w:rPr>
                <w:color w:val="0D0D0D"/>
                <w:sz w:val="24"/>
                <w:szCs w:val="24"/>
              </w:rPr>
              <w:lastRenderedPageBreak/>
              <w:t>1,2&amp;3</w:t>
            </w:r>
          </w:p>
        </w:tc>
      </w:tr>
      <w:tr w:rsidR="00085234" w:rsidTr="00085234">
        <w:tc>
          <w:tcPr>
            <w:tcW w:w="3198" w:type="dxa"/>
          </w:tcPr>
          <w:p w:rsidR="00085234" w:rsidRDefault="00085234" w:rsidP="00085234">
            <w:pPr>
              <w:pBdr>
                <w:top w:val="nil"/>
                <w:left w:val="nil"/>
                <w:bottom w:val="nil"/>
                <w:right w:val="nil"/>
                <w:between w:val="nil"/>
              </w:pBdr>
              <w:spacing w:before="71"/>
              <w:ind w:left="169" w:right="155"/>
              <w:rPr>
                <w:color w:val="000000"/>
              </w:rPr>
            </w:pPr>
            <w:r>
              <w:rPr>
                <w:color w:val="0D0D0D"/>
              </w:rPr>
              <w:t>Pupil Premium Focused CPD – Whole School and department specific</w:t>
            </w:r>
          </w:p>
        </w:tc>
        <w:tc>
          <w:tcPr>
            <w:tcW w:w="4461" w:type="dxa"/>
          </w:tcPr>
          <w:p w:rsidR="00085234" w:rsidRDefault="00085234" w:rsidP="00085234">
            <w:pPr>
              <w:pBdr>
                <w:top w:val="nil"/>
                <w:left w:val="nil"/>
                <w:bottom w:val="nil"/>
                <w:right w:val="nil"/>
                <w:between w:val="nil"/>
              </w:pBdr>
              <w:spacing w:before="71"/>
              <w:ind w:left="174"/>
              <w:rPr>
                <w:color w:val="000000"/>
              </w:rPr>
            </w:pPr>
            <w:r>
              <w:rPr>
                <w:color w:val="0D0D0D"/>
              </w:rPr>
              <w:t>EEF Effective Professional Development Guidance Report 2021 - High quality teaching improves pupil outcomes, and effective professional development offers a crucial tool to develop teaching quality and enhance children’s outcomes in the classroom.</w:t>
            </w:r>
            <w:r>
              <w:rPr>
                <w:color w:val="0D0D0D"/>
              </w:rPr>
              <w:t xml:space="preserve"> </w:t>
            </w:r>
            <w:r>
              <w:rPr>
                <w:color w:val="0D0D0D"/>
              </w:rPr>
              <w:t>Staff are encouraged to source CPD that will help to advantage the teaching of PP students, and then apply for PP funding to facilitate the CPD.</w:t>
            </w:r>
          </w:p>
        </w:tc>
        <w:tc>
          <w:tcPr>
            <w:tcW w:w="1938" w:type="dxa"/>
          </w:tcPr>
          <w:p w:rsidR="00085234" w:rsidRDefault="00085234" w:rsidP="00085234">
            <w:pPr>
              <w:spacing w:before="240"/>
              <w:rPr>
                <w:color w:val="0D0D0D"/>
                <w:sz w:val="24"/>
                <w:szCs w:val="24"/>
              </w:rPr>
            </w:pPr>
            <w:r>
              <w:rPr>
                <w:color w:val="0D0D0D"/>
                <w:sz w:val="24"/>
                <w:szCs w:val="24"/>
              </w:rPr>
              <w:t>1, 2</w:t>
            </w:r>
          </w:p>
        </w:tc>
      </w:tr>
      <w:tr w:rsidR="00085234" w:rsidTr="00085234">
        <w:tc>
          <w:tcPr>
            <w:tcW w:w="3198" w:type="dxa"/>
          </w:tcPr>
          <w:p w:rsidR="00085234" w:rsidRDefault="00085234" w:rsidP="00085234">
            <w:pPr>
              <w:pBdr>
                <w:top w:val="nil"/>
                <w:left w:val="nil"/>
                <w:bottom w:val="nil"/>
                <w:right w:val="nil"/>
                <w:between w:val="nil"/>
              </w:pBdr>
              <w:spacing w:before="70"/>
              <w:ind w:left="169" w:right="176"/>
              <w:rPr>
                <w:color w:val="000000"/>
              </w:rPr>
            </w:pPr>
            <w:r>
              <w:rPr>
                <w:color w:val="0D0D0D"/>
              </w:rPr>
              <w:t>Staffing - Academic and pastoral including;</w:t>
            </w:r>
          </w:p>
          <w:p w:rsidR="00085234" w:rsidRDefault="00085234" w:rsidP="00085234">
            <w:pPr>
              <w:numPr>
                <w:ilvl w:val="0"/>
                <w:numId w:val="7"/>
              </w:numPr>
              <w:pBdr>
                <w:top w:val="nil"/>
                <w:left w:val="nil"/>
                <w:bottom w:val="nil"/>
                <w:right w:val="nil"/>
                <w:between w:val="nil"/>
              </w:pBdr>
              <w:tabs>
                <w:tab w:val="left" w:pos="829"/>
              </w:tabs>
              <w:spacing w:before="60"/>
              <w:ind w:right="363" w:hanging="360"/>
              <w:rPr>
                <w:color w:val="000000"/>
              </w:rPr>
            </w:pPr>
            <w:r>
              <w:t>PP Team remunerations</w:t>
            </w:r>
          </w:p>
          <w:p w:rsidR="00085234" w:rsidRDefault="00085234" w:rsidP="00085234">
            <w:pPr>
              <w:numPr>
                <w:ilvl w:val="0"/>
                <w:numId w:val="7"/>
              </w:numPr>
              <w:pBdr>
                <w:top w:val="nil"/>
                <w:left w:val="nil"/>
                <w:bottom w:val="nil"/>
                <w:right w:val="nil"/>
                <w:between w:val="nil"/>
              </w:pBdr>
              <w:tabs>
                <w:tab w:val="left" w:pos="829"/>
              </w:tabs>
              <w:ind w:right="180" w:hanging="360"/>
              <w:rPr>
                <w:color w:val="000000"/>
              </w:rPr>
            </w:pPr>
            <w:r>
              <w:t>Student Support Mentors</w:t>
            </w:r>
          </w:p>
          <w:p w:rsidR="00085234" w:rsidRDefault="00085234" w:rsidP="00085234">
            <w:pPr>
              <w:numPr>
                <w:ilvl w:val="0"/>
                <w:numId w:val="7"/>
              </w:numPr>
              <w:pBdr>
                <w:top w:val="nil"/>
                <w:left w:val="nil"/>
                <w:bottom w:val="nil"/>
                <w:right w:val="nil"/>
                <w:between w:val="nil"/>
              </w:pBdr>
              <w:tabs>
                <w:tab w:val="left" w:pos="828"/>
              </w:tabs>
              <w:ind w:left="828" w:hanging="359"/>
              <w:rPr>
                <w:color w:val="000000"/>
              </w:rPr>
            </w:pPr>
            <w:r>
              <w:t xml:space="preserve">Literacy and </w:t>
            </w:r>
            <w:proofErr w:type="spellStart"/>
            <w:r>
              <w:t>Maths</w:t>
            </w:r>
            <w:proofErr w:type="spellEnd"/>
            <w:r>
              <w:t xml:space="preserve"> tutors</w:t>
            </w:r>
          </w:p>
        </w:tc>
        <w:tc>
          <w:tcPr>
            <w:tcW w:w="4461" w:type="dxa"/>
          </w:tcPr>
          <w:p w:rsidR="00085234" w:rsidRDefault="00085234" w:rsidP="00085234">
            <w:pPr>
              <w:pBdr>
                <w:top w:val="nil"/>
                <w:left w:val="nil"/>
                <w:bottom w:val="nil"/>
                <w:right w:val="nil"/>
                <w:between w:val="nil"/>
              </w:pBdr>
              <w:ind w:left="114" w:right="132"/>
              <w:rPr>
                <w:color w:val="000000"/>
              </w:rPr>
            </w:pPr>
            <w:r>
              <w:rPr>
                <w:color w:val="0D0D0D"/>
              </w:rPr>
              <w:t>The Wave/Tiered Support Model of intervention explains how the first intervention should be good quality teaching in the classroom, for all students, with focus on those in need, including the Pupil Premium students. This focus is consistently monitored, challenged and evaluated by holding staff to account, and encouraging collaborative strategies such as coaching and sharing of ideas. The EEF explains, “quality of teaching is one of the biggest drivers of pupil attainment, particularly for those from disadvantaged backgrounds. It is crucial, therefore, that schools focus all their resources (not just the Pupil Premium) on proven ways of improving teaching, such as tried and tested continuing professional development courses and feedback methods</w:t>
            </w:r>
            <w:r>
              <w:rPr>
                <w:color w:val="2A3A41"/>
              </w:rPr>
              <w:t>.”</w:t>
            </w:r>
          </w:p>
        </w:tc>
        <w:tc>
          <w:tcPr>
            <w:tcW w:w="1938" w:type="dxa"/>
          </w:tcPr>
          <w:p w:rsidR="00085234" w:rsidRDefault="00085234" w:rsidP="00085234">
            <w:pPr>
              <w:spacing w:before="240"/>
              <w:rPr>
                <w:color w:val="0D0D0D"/>
                <w:sz w:val="24"/>
                <w:szCs w:val="24"/>
              </w:rPr>
            </w:pPr>
            <w:r>
              <w:rPr>
                <w:color w:val="0D0D0D"/>
                <w:sz w:val="24"/>
                <w:szCs w:val="24"/>
              </w:rPr>
              <w:t>1, 2,3&amp;4</w:t>
            </w:r>
          </w:p>
        </w:tc>
      </w:tr>
    </w:tbl>
    <w:p w:rsidR="006D5718" w:rsidRDefault="006D5718">
      <w:pPr>
        <w:spacing w:before="240"/>
        <w:ind w:left="133"/>
        <w:rPr>
          <w:color w:val="0D0D0D"/>
          <w:sz w:val="24"/>
          <w:szCs w:val="24"/>
        </w:rPr>
      </w:pPr>
    </w:p>
    <w:p w:rsidR="006D5718" w:rsidRDefault="006D5718">
      <w:pPr>
        <w:spacing w:before="240"/>
        <w:ind w:left="133"/>
        <w:rPr>
          <w:i/>
          <w:iCs/>
          <w:sz w:val="24"/>
          <w:szCs w:val="24"/>
        </w:rPr>
      </w:pPr>
    </w:p>
    <w:p w:rsidR="002D22C2" w:rsidRDefault="002D22C2">
      <w:pPr>
        <w:pBdr>
          <w:top w:val="nil"/>
          <w:left w:val="nil"/>
          <w:bottom w:val="nil"/>
          <w:right w:val="nil"/>
          <w:between w:val="nil"/>
        </w:pBdr>
        <w:spacing w:before="48"/>
        <w:rPr>
          <w:i/>
          <w:iCs/>
          <w:color w:val="000000"/>
          <w:sz w:val="20"/>
          <w:szCs w:val="20"/>
        </w:rPr>
      </w:pPr>
    </w:p>
    <w:p w:rsidR="002D22C2" w:rsidRDefault="002D22C2">
      <w:pPr>
        <w:sectPr w:rsidR="002D22C2">
          <w:pgSz w:w="11920" w:h="16840"/>
          <w:pgMar w:top="1060" w:right="1180" w:bottom="960" w:left="1000" w:header="0" w:footer="772" w:gutter="0"/>
          <w:cols w:space="720"/>
        </w:sectPr>
      </w:pPr>
    </w:p>
    <w:p w:rsidR="002D22C2" w:rsidRDefault="000672A0">
      <w:pPr>
        <w:pStyle w:val="Heading3"/>
        <w:spacing w:before="74" w:line="288" w:lineRule="auto"/>
        <w:ind w:firstLine="133"/>
      </w:pPr>
      <w:r>
        <w:rPr>
          <w:color w:val="0F4E74"/>
        </w:rPr>
        <w:t>Targeted academic support (for example, tutoring, one-to-one support structured interventions)</w:t>
      </w:r>
    </w:p>
    <w:p w:rsidR="002D22C2" w:rsidRDefault="00085234">
      <w:pPr>
        <w:spacing w:before="240"/>
        <w:ind w:left="133"/>
        <w:rPr>
          <w:i/>
          <w:iCs/>
          <w:sz w:val="24"/>
          <w:szCs w:val="24"/>
          <w:highlight w:val="red"/>
        </w:rPr>
      </w:pPr>
      <w:r>
        <w:rPr>
          <w:color w:val="0D0D0D"/>
          <w:sz w:val="24"/>
          <w:szCs w:val="24"/>
        </w:rPr>
        <w:t>Budgeted cost: £26,777</w:t>
      </w:r>
    </w:p>
    <w:p w:rsidR="002D22C2" w:rsidRDefault="002D22C2">
      <w:pPr>
        <w:pBdr>
          <w:top w:val="nil"/>
          <w:left w:val="nil"/>
          <w:bottom w:val="nil"/>
          <w:right w:val="nil"/>
          <w:between w:val="nil"/>
        </w:pBdr>
        <w:spacing w:before="47"/>
        <w:rPr>
          <w:i/>
          <w:iCs/>
          <w:color w:val="000000"/>
          <w:sz w:val="20"/>
          <w:szCs w:val="20"/>
        </w:rPr>
      </w:pPr>
    </w:p>
    <w:tbl>
      <w:tblPr>
        <w:tblStyle w:val="TableGrid"/>
        <w:tblW w:w="0" w:type="auto"/>
        <w:tblLook w:val="04A0" w:firstRow="1" w:lastRow="0" w:firstColumn="1" w:lastColumn="0" w:noHBand="0" w:noVBand="1"/>
      </w:tblPr>
      <w:tblGrid>
        <w:gridCol w:w="3193"/>
        <w:gridCol w:w="4684"/>
        <w:gridCol w:w="1853"/>
      </w:tblGrid>
      <w:tr w:rsidR="00085234" w:rsidTr="00085234">
        <w:tc>
          <w:tcPr>
            <w:tcW w:w="3193" w:type="dxa"/>
          </w:tcPr>
          <w:p w:rsidR="00085234" w:rsidRDefault="00085234" w:rsidP="00085234">
            <w:pPr>
              <w:pBdr>
                <w:top w:val="nil"/>
                <w:left w:val="nil"/>
                <w:bottom w:val="nil"/>
                <w:right w:val="nil"/>
                <w:between w:val="nil"/>
              </w:pBdr>
              <w:spacing w:before="73"/>
              <w:ind w:left="169"/>
              <w:rPr>
                <w:b/>
                <w:bCs/>
                <w:color w:val="000000"/>
                <w:sz w:val="24"/>
                <w:szCs w:val="24"/>
              </w:rPr>
            </w:pPr>
            <w:r>
              <w:rPr>
                <w:b/>
                <w:bCs/>
                <w:color w:val="0D0D0D"/>
                <w:sz w:val="24"/>
                <w:szCs w:val="24"/>
              </w:rPr>
              <w:t>Activity</w:t>
            </w:r>
          </w:p>
        </w:tc>
        <w:tc>
          <w:tcPr>
            <w:tcW w:w="4684" w:type="dxa"/>
          </w:tcPr>
          <w:p w:rsidR="00085234" w:rsidRDefault="00085234" w:rsidP="00085234">
            <w:pPr>
              <w:pBdr>
                <w:top w:val="nil"/>
                <w:left w:val="nil"/>
                <w:bottom w:val="nil"/>
                <w:right w:val="nil"/>
                <w:between w:val="nil"/>
              </w:pBdr>
              <w:spacing w:before="73"/>
              <w:ind w:left="159"/>
              <w:rPr>
                <w:b/>
                <w:bCs/>
                <w:color w:val="000000"/>
                <w:sz w:val="24"/>
                <w:szCs w:val="24"/>
              </w:rPr>
            </w:pPr>
            <w:r>
              <w:rPr>
                <w:b/>
                <w:bCs/>
                <w:color w:val="0D0D0D"/>
                <w:sz w:val="24"/>
                <w:szCs w:val="24"/>
              </w:rPr>
              <w:t>Evidence that supports this approach</w:t>
            </w:r>
          </w:p>
        </w:tc>
        <w:tc>
          <w:tcPr>
            <w:tcW w:w="1853" w:type="dxa"/>
          </w:tcPr>
          <w:p w:rsidR="00085234" w:rsidRDefault="00085234" w:rsidP="00085234">
            <w:pPr>
              <w:pBdr>
                <w:top w:val="nil"/>
                <w:left w:val="nil"/>
                <w:bottom w:val="nil"/>
                <w:right w:val="nil"/>
                <w:between w:val="nil"/>
              </w:pBdr>
              <w:spacing w:before="73"/>
              <w:ind w:left="163" w:right="273"/>
              <w:jc w:val="both"/>
              <w:rPr>
                <w:b/>
                <w:bCs/>
                <w:color w:val="000000"/>
                <w:sz w:val="24"/>
                <w:szCs w:val="24"/>
              </w:rPr>
            </w:pPr>
            <w:r>
              <w:rPr>
                <w:b/>
                <w:bCs/>
                <w:color w:val="0D0D0D"/>
                <w:sz w:val="24"/>
                <w:szCs w:val="24"/>
              </w:rPr>
              <w:t>Challenge number(s) addressed</w:t>
            </w:r>
          </w:p>
        </w:tc>
      </w:tr>
      <w:tr w:rsidR="00085234" w:rsidTr="00085234">
        <w:tc>
          <w:tcPr>
            <w:tcW w:w="3193" w:type="dxa"/>
          </w:tcPr>
          <w:p w:rsidR="00085234" w:rsidRDefault="00085234" w:rsidP="00085234">
            <w:pPr>
              <w:spacing w:before="47"/>
              <w:rPr>
                <w:i/>
                <w:iCs/>
                <w:color w:val="000000"/>
                <w:sz w:val="20"/>
                <w:szCs w:val="20"/>
              </w:rPr>
            </w:pPr>
            <w:r>
              <w:t>"Bridge the Gap" Tutoring</w:t>
            </w:r>
          </w:p>
        </w:tc>
        <w:tc>
          <w:tcPr>
            <w:tcW w:w="4684" w:type="dxa"/>
          </w:tcPr>
          <w:p w:rsidR="00085234" w:rsidRDefault="00085234" w:rsidP="00085234">
            <w:pPr>
              <w:pStyle w:val="NormalWeb"/>
            </w:pPr>
            <w:r>
              <w:t>T</w:t>
            </w:r>
            <w:r>
              <w:t xml:space="preserve">he </w:t>
            </w:r>
            <w:r w:rsidRPr="00085234">
              <w:rPr>
                <w:bCs/>
              </w:rPr>
              <w:t>EEF "Small Group Tuition"</w:t>
            </w:r>
            <w:r>
              <w:t xml:space="preserve"> Toolkit entry.</w:t>
            </w:r>
          </w:p>
          <w:p w:rsidR="00085234" w:rsidRDefault="00085234" w:rsidP="00085234">
            <w:pPr>
              <w:pStyle w:val="NormalWeb"/>
            </w:pPr>
            <w:r w:rsidRPr="00085234">
              <w:rPr>
                <w:bCs/>
              </w:rPr>
              <w:lastRenderedPageBreak/>
              <w:t>Impact Data:</w:t>
            </w:r>
            <w:r>
              <w:t xml:space="preserve"> Small group tuition has an average impact of </w:t>
            </w:r>
            <w:r w:rsidRPr="00085234">
              <w:rPr>
                <w:bCs/>
              </w:rPr>
              <w:t>+4 months</w:t>
            </w:r>
            <w:r>
              <w:t>. (One-to-one is +5 months, but small group is more cost-effective).</w:t>
            </w:r>
          </w:p>
          <w:p w:rsidR="00085234" w:rsidRDefault="00085234" w:rsidP="00085234">
            <w:pPr>
              <w:pStyle w:val="NormalWeb"/>
            </w:pPr>
            <w:r w:rsidRPr="00085234">
              <w:rPr>
                <w:bCs/>
              </w:rPr>
              <w:t>Critical Condition:</w:t>
            </w:r>
            <w:r w:rsidRPr="00085234">
              <w:t xml:space="preserve"> Evidence shows this is </w:t>
            </w:r>
            <w:r w:rsidRPr="00085234">
              <w:rPr>
                <w:i/>
                <w:iCs/>
              </w:rPr>
              <w:t>only</w:t>
            </w:r>
            <w:r w:rsidRPr="00085234">
              <w:t xml:space="preserve"> effective if the tutor uses </w:t>
            </w:r>
            <w:r w:rsidRPr="00085234">
              <w:rPr>
                <w:bCs/>
              </w:rPr>
              <w:t>diagnostic assessment</w:t>
            </w:r>
            <w:r w:rsidRPr="00085234">
              <w:t xml:space="preserve"> to tar</w:t>
            </w:r>
            <w:r>
              <w:t xml:space="preserve">get specific gaps (not just general "homework help") and if the tuition is sustained </w:t>
            </w:r>
          </w:p>
          <w:p w:rsidR="00085234" w:rsidRDefault="00085234" w:rsidP="00085234">
            <w:pPr>
              <w:pStyle w:val="NormalWeb"/>
            </w:pPr>
            <w:r w:rsidRPr="00085234">
              <w:rPr>
                <w:bCs/>
              </w:rPr>
              <w:t>Why for Rural/Deprived Context</w:t>
            </w:r>
            <w:r>
              <w:rPr>
                <w:b/>
                <w:bCs/>
              </w:rPr>
              <w:t>:</w:t>
            </w:r>
            <w:r>
              <w:t xml:space="preserve"> It addresses the "attainment gap" that often widens in Key Stage 3 for disadvantaged pupils who may lack private tutoring options available in affluent urban centres.</w:t>
            </w:r>
          </w:p>
          <w:p w:rsidR="00085234" w:rsidRDefault="00085234" w:rsidP="00085234">
            <w:pPr>
              <w:spacing w:before="47"/>
              <w:rPr>
                <w:i/>
                <w:iCs/>
                <w:color w:val="000000"/>
                <w:sz w:val="20"/>
                <w:szCs w:val="20"/>
              </w:rPr>
            </w:pPr>
          </w:p>
        </w:tc>
        <w:tc>
          <w:tcPr>
            <w:tcW w:w="1853" w:type="dxa"/>
          </w:tcPr>
          <w:p w:rsidR="00085234" w:rsidRDefault="00085234" w:rsidP="00085234">
            <w:pPr>
              <w:spacing w:before="47"/>
              <w:rPr>
                <w:i/>
                <w:iCs/>
                <w:color w:val="000000"/>
                <w:sz w:val="20"/>
                <w:szCs w:val="20"/>
              </w:rPr>
            </w:pPr>
            <w:r>
              <w:rPr>
                <w:i/>
                <w:iCs/>
                <w:color w:val="000000"/>
                <w:sz w:val="20"/>
                <w:szCs w:val="20"/>
              </w:rPr>
              <w:lastRenderedPageBreak/>
              <w:t>1 &amp; 2</w:t>
            </w:r>
          </w:p>
        </w:tc>
      </w:tr>
      <w:tr w:rsidR="00085234" w:rsidTr="00085234">
        <w:tc>
          <w:tcPr>
            <w:tcW w:w="3193" w:type="dxa"/>
          </w:tcPr>
          <w:p w:rsidR="00085234" w:rsidRDefault="00085234" w:rsidP="00085234">
            <w:pPr>
              <w:spacing w:before="47"/>
              <w:rPr>
                <w:i/>
                <w:iCs/>
                <w:color w:val="000000"/>
                <w:sz w:val="20"/>
                <w:szCs w:val="20"/>
              </w:rPr>
            </w:pPr>
            <w:r>
              <w:t>Equity (Laptops/Broadband)</w:t>
            </w:r>
          </w:p>
        </w:tc>
        <w:tc>
          <w:tcPr>
            <w:tcW w:w="4684" w:type="dxa"/>
          </w:tcPr>
          <w:p w:rsidR="00085234" w:rsidRDefault="00085234" w:rsidP="00085234">
            <w:pPr>
              <w:pStyle w:val="NormalWeb"/>
            </w:pPr>
            <w:r w:rsidRPr="00085234">
              <w:rPr>
                <w:bCs/>
              </w:rPr>
              <w:t>The Evidence:</w:t>
            </w:r>
            <w:r w:rsidRPr="00085234">
              <w:t xml:space="preserve"> </w:t>
            </w:r>
            <w:r w:rsidRPr="00085234">
              <w:rPr>
                <w:bCs/>
              </w:rPr>
              <w:t>Ofcom’s "Connected Nations" report</w:t>
            </w:r>
            <w:r>
              <w:t xml:space="preserve"> consistently highlights the digital divide in rural areas.</w:t>
            </w:r>
          </w:p>
          <w:p w:rsidR="00085234" w:rsidRDefault="00085234" w:rsidP="00085234">
            <w:pPr>
              <w:pStyle w:val="NormalWeb"/>
            </w:pPr>
            <w:r w:rsidRPr="00085234">
              <w:rPr>
                <w:bCs/>
              </w:rPr>
              <w:t>Impact Data</w:t>
            </w:r>
            <w:r>
              <w:rPr>
                <w:b/>
                <w:bCs/>
              </w:rPr>
              <w:t>:</w:t>
            </w:r>
            <w:r>
              <w:t xml:space="preserve"> While providing hardware alone has a low impact, the </w:t>
            </w:r>
            <w:r w:rsidRPr="00085234">
              <w:rPr>
                <w:bCs/>
              </w:rPr>
              <w:t>EEF</w:t>
            </w:r>
            <w:r>
              <w:t xml:space="preserve"> states that technology </w:t>
            </w:r>
            <w:r>
              <w:rPr>
                <w:i/>
                <w:iCs/>
              </w:rPr>
              <w:t>used to support specific pedagogical aims</w:t>
            </w:r>
            <w:r>
              <w:t xml:space="preserve"> (like retrieval practice apps) can be effective.</w:t>
            </w:r>
          </w:p>
          <w:p w:rsidR="00085234" w:rsidRDefault="00085234" w:rsidP="00085234">
            <w:pPr>
              <w:pStyle w:val="NormalWeb"/>
            </w:pPr>
            <w:r w:rsidRPr="00085234">
              <w:rPr>
                <w:bCs/>
              </w:rPr>
              <w:t>Why for Rural/Deprived Context</w:t>
            </w:r>
            <w:r>
              <w:rPr>
                <w:b/>
                <w:bCs/>
              </w:rPr>
              <w:t>:</w:t>
            </w:r>
            <w:r>
              <w:t xml:space="preserve"> In the Forest of Dean, geographic isolation combined with poverty ("digital exclusion") means students cannot access the same revision materials as peers. Providing this removes a logistical barrier to independent study.</w:t>
            </w:r>
          </w:p>
          <w:p w:rsidR="00085234" w:rsidRDefault="00085234" w:rsidP="00085234">
            <w:pPr>
              <w:spacing w:before="47"/>
              <w:rPr>
                <w:i/>
                <w:iCs/>
                <w:color w:val="000000"/>
                <w:sz w:val="20"/>
                <w:szCs w:val="20"/>
              </w:rPr>
            </w:pPr>
          </w:p>
        </w:tc>
        <w:tc>
          <w:tcPr>
            <w:tcW w:w="1853" w:type="dxa"/>
          </w:tcPr>
          <w:p w:rsidR="00085234" w:rsidRDefault="00085234" w:rsidP="00085234">
            <w:pPr>
              <w:spacing w:before="47"/>
              <w:rPr>
                <w:i/>
                <w:iCs/>
                <w:color w:val="000000"/>
                <w:sz w:val="20"/>
                <w:szCs w:val="20"/>
              </w:rPr>
            </w:pPr>
            <w:r>
              <w:rPr>
                <w:i/>
                <w:iCs/>
                <w:color w:val="000000"/>
                <w:sz w:val="20"/>
                <w:szCs w:val="20"/>
              </w:rPr>
              <w:t>2</w:t>
            </w:r>
          </w:p>
        </w:tc>
      </w:tr>
      <w:tr w:rsidR="00085234" w:rsidTr="00085234">
        <w:tc>
          <w:tcPr>
            <w:tcW w:w="3193" w:type="dxa"/>
          </w:tcPr>
          <w:p w:rsidR="00085234" w:rsidRDefault="00085234" w:rsidP="00085234">
            <w:pPr>
              <w:pBdr>
                <w:top w:val="nil"/>
                <w:left w:val="nil"/>
                <w:bottom w:val="nil"/>
                <w:right w:val="nil"/>
                <w:between w:val="nil"/>
              </w:pBdr>
              <w:spacing w:before="55"/>
              <w:ind w:left="169" w:right="422"/>
              <w:rPr>
                <w:color w:val="000000"/>
              </w:rPr>
            </w:pPr>
            <w:r>
              <w:rPr>
                <w:color w:val="0D0D0D"/>
              </w:rPr>
              <w:t>Accelerated Reader (AR)</w:t>
            </w:r>
          </w:p>
        </w:tc>
        <w:tc>
          <w:tcPr>
            <w:tcW w:w="4684" w:type="dxa"/>
          </w:tcPr>
          <w:p w:rsidR="00085234" w:rsidRDefault="00085234" w:rsidP="00085234">
            <w:pPr>
              <w:pBdr>
                <w:top w:val="nil"/>
                <w:left w:val="nil"/>
                <w:bottom w:val="nil"/>
                <w:right w:val="nil"/>
                <w:between w:val="nil"/>
              </w:pBdr>
              <w:ind w:left="99" w:right="250"/>
              <w:rPr>
                <w:color w:val="000000"/>
              </w:rPr>
            </w:pPr>
            <w:r>
              <w:rPr>
                <w:color w:val="0D0D0D"/>
              </w:rPr>
              <w:t>AR helps students develop literacy in order to access the rest of the curriculum, improve vocabulary and build cultural capital.</w:t>
            </w:r>
          </w:p>
          <w:p w:rsidR="00085234" w:rsidRDefault="00085234" w:rsidP="00085234">
            <w:pPr>
              <w:pBdr>
                <w:top w:val="nil"/>
                <w:left w:val="nil"/>
                <w:bottom w:val="nil"/>
                <w:right w:val="nil"/>
                <w:between w:val="nil"/>
              </w:pBdr>
              <w:spacing w:before="55"/>
              <w:ind w:left="99" w:right="98"/>
              <w:rPr>
                <w:color w:val="000000"/>
              </w:rPr>
            </w:pPr>
            <w:r>
              <w:rPr>
                <w:color w:val="0D0D0D"/>
              </w:rPr>
              <w:t>The EEF’s Teaching and Learning Toolkit highlights that approaches supporting reading comprehension can, on average, deliver an additional 6</w:t>
            </w:r>
            <w:r>
              <w:rPr>
                <w:color w:val="0D0D0D"/>
              </w:rPr>
              <w:t xml:space="preserve"> months progress. The first EEF </w:t>
            </w:r>
            <w:r>
              <w:rPr>
                <w:color w:val="0D0D0D"/>
              </w:rPr>
              <w:t xml:space="preserve">funded efficacy trial of AR found pupils who received the </w:t>
            </w:r>
            <w:proofErr w:type="spellStart"/>
            <w:r>
              <w:rPr>
                <w:color w:val="0D0D0D"/>
              </w:rPr>
              <w:t>programme</w:t>
            </w:r>
            <w:proofErr w:type="spellEnd"/>
            <w:r>
              <w:rPr>
                <w:color w:val="0D0D0D"/>
              </w:rPr>
              <w:t xml:space="preserve"> made three months of additional progress in reading comprehension.</w:t>
            </w:r>
          </w:p>
          <w:p w:rsidR="00085234" w:rsidRDefault="00085234" w:rsidP="00085234">
            <w:pPr>
              <w:pBdr>
                <w:top w:val="nil"/>
                <w:left w:val="nil"/>
                <w:bottom w:val="nil"/>
                <w:right w:val="nil"/>
                <w:between w:val="nil"/>
              </w:pBdr>
              <w:spacing w:before="60"/>
              <w:ind w:left="99" w:right="250"/>
              <w:rPr>
                <w:color w:val="000000"/>
              </w:rPr>
            </w:pPr>
            <w:r>
              <w:rPr>
                <w:color w:val="0D0D0D"/>
              </w:rPr>
              <w:t>Results from AR data analysis will inform certain interventions such as Reading Buddies, handwriting support and book purchases.</w:t>
            </w:r>
          </w:p>
        </w:tc>
        <w:tc>
          <w:tcPr>
            <w:tcW w:w="1853" w:type="dxa"/>
          </w:tcPr>
          <w:p w:rsidR="00085234" w:rsidRDefault="00085234" w:rsidP="00085234">
            <w:pPr>
              <w:spacing w:before="47"/>
              <w:rPr>
                <w:i/>
                <w:iCs/>
                <w:color w:val="000000"/>
                <w:sz w:val="20"/>
                <w:szCs w:val="20"/>
              </w:rPr>
            </w:pPr>
            <w:r>
              <w:rPr>
                <w:i/>
                <w:iCs/>
                <w:color w:val="000000"/>
                <w:sz w:val="20"/>
                <w:szCs w:val="20"/>
              </w:rPr>
              <w:t>2</w:t>
            </w:r>
          </w:p>
        </w:tc>
      </w:tr>
      <w:tr w:rsidR="00085234" w:rsidTr="00085234">
        <w:tc>
          <w:tcPr>
            <w:tcW w:w="3193" w:type="dxa"/>
          </w:tcPr>
          <w:p w:rsidR="00085234" w:rsidRDefault="00085234" w:rsidP="00085234">
            <w:pPr>
              <w:pBdr>
                <w:top w:val="nil"/>
                <w:left w:val="nil"/>
                <w:bottom w:val="nil"/>
                <w:right w:val="nil"/>
                <w:between w:val="nil"/>
              </w:pBdr>
              <w:spacing w:before="73"/>
              <w:ind w:left="169"/>
              <w:rPr>
                <w:color w:val="000000"/>
              </w:rPr>
            </w:pPr>
            <w:proofErr w:type="spellStart"/>
            <w:r>
              <w:rPr>
                <w:color w:val="0D0D0D"/>
              </w:rPr>
              <w:t>MathsWatch</w:t>
            </w:r>
            <w:proofErr w:type="spellEnd"/>
            <w:r>
              <w:rPr>
                <w:color w:val="0D0D0D"/>
              </w:rPr>
              <w:t xml:space="preserve"> (MW)</w:t>
            </w:r>
          </w:p>
        </w:tc>
        <w:tc>
          <w:tcPr>
            <w:tcW w:w="4684" w:type="dxa"/>
          </w:tcPr>
          <w:p w:rsidR="00085234" w:rsidRDefault="00085234" w:rsidP="00085234">
            <w:pPr>
              <w:pBdr>
                <w:top w:val="nil"/>
                <w:left w:val="nil"/>
                <w:bottom w:val="nil"/>
                <w:right w:val="nil"/>
                <w:between w:val="nil"/>
              </w:pBdr>
              <w:ind w:left="99"/>
              <w:rPr>
                <w:color w:val="000000"/>
              </w:rPr>
            </w:pPr>
            <w:r>
              <w:rPr>
                <w:color w:val="0D0D0D"/>
              </w:rPr>
              <w:t xml:space="preserve">MW explores the idea of ‘Mastery Learning’, </w:t>
            </w:r>
            <w:r>
              <w:rPr>
                <w:color w:val="0D0D0D"/>
              </w:rPr>
              <w:lastRenderedPageBreak/>
              <w:t>which the EEF explains is effective, leading to an additional five months’ progress over the course of a school year compared to traditional approaches. The use of a digital platform is also evidenced by the EEF as being moderately effective, when used to supplement outstanding teaching.</w:t>
            </w:r>
          </w:p>
        </w:tc>
        <w:tc>
          <w:tcPr>
            <w:tcW w:w="1853" w:type="dxa"/>
          </w:tcPr>
          <w:p w:rsidR="00085234" w:rsidRDefault="00085234" w:rsidP="00085234">
            <w:pPr>
              <w:spacing w:before="47"/>
              <w:rPr>
                <w:i/>
                <w:iCs/>
                <w:color w:val="000000"/>
                <w:sz w:val="20"/>
                <w:szCs w:val="20"/>
              </w:rPr>
            </w:pPr>
            <w:r>
              <w:rPr>
                <w:i/>
                <w:iCs/>
                <w:color w:val="000000"/>
                <w:sz w:val="20"/>
                <w:szCs w:val="20"/>
              </w:rPr>
              <w:lastRenderedPageBreak/>
              <w:t>2</w:t>
            </w:r>
          </w:p>
        </w:tc>
      </w:tr>
    </w:tbl>
    <w:p w:rsidR="00085234" w:rsidRDefault="00085234">
      <w:pPr>
        <w:pBdr>
          <w:top w:val="nil"/>
          <w:left w:val="nil"/>
          <w:bottom w:val="nil"/>
          <w:right w:val="nil"/>
          <w:between w:val="nil"/>
        </w:pBdr>
        <w:spacing w:before="47"/>
        <w:rPr>
          <w:i/>
          <w:iCs/>
          <w:color w:val="000000"/>
          <w:sz w:val="20"/>
          <w:szCs w:val="20"/>
        </w:rPr>
      </w:pPr>
    </w:p>
    <w:p w:rsidR="002D22C2" w:rsidRDefault="002D22C2">
      <w:pPr>
        <w:pBdr>
          <w:top w:val="nil"/>
          <w:left w:val="nil"/>
          <w:bottom w:val="nil"/>
          <w:right w:val="nil"/>
          <w:between w:val="nil"/>
        </w:pBdr>
        <w:spacing w:line="276" w:lineRule="auto"/>
        <w:rPr>
          <w:color w:val="000000"/>
        </w:rPr>
      </w:pPr>
    </w:p>
    <w:p w:rsidR="002D22C2" w:rsidRDefault="000672A0">
      <w:pPr>
        <w:rPr>
          <w:b/>
          <w:bCs/>
          <w:color w:val="0F4E74"/>
          <w:sz w:val="28"/>
          <w:szCs w:val="28"/>
        </w:rPr>
      </w:pPr>
      <w:r>
        <w:br w:type="page"/>
      </w:r>
    </w:p>
    <w:p w:rsidR="002D22C2" w:rsidRDefault="000672A0">
      <w:pPr>
        <w:pStyle w:val="Heading3"/>
        <w:spacing w:line="288" w:lineRule="auto"/>
        <w:ind w:firstLine="133"/>
      </w:pPr>
      <w:r>
        <w:rPr>
          <w:color w:val="0F4E74"/>
        </w:rPr>
        <w:lastRenderedPageBreak/>
        <w:t xml:space="preserve">Wider strategies (for example, related to attendance, </w:t>
      </w:r>
      <w:proofErr w:type="spellStart"/>
      <w:r>
        <w:rPr>
          <w:color w:val="0F4E74"/>
        </w:rPr>
        <w:t>behaviour</w:t>
      </w:r>
      <w:proofErr w:type="spellEnd"/>
      <w:r>
        <w:rPr>
          <w:color w:val="0F4E74"/>
        </w:rPr>
        <w:t>, wellbeing)</w:t>
      </w:r>
    </w:p>
    <w:p w:rsidR="002D22C2" w:rsidRDefault="000672A0">
      <w:pPr>
        <w:spacing w:before="240"/>
        <w:ind w:left="133"/>
        <w:rPr>
          <w:color w:val="0D0D0D"/>
          <w:sz w:val="24"/>
          <w:szCs w:val="24"/>
        </w:rPr>
      </w:pPr>
      <w:r>
        <w:rPr>
          <w:color w:val="0D0D0D"/>
          <w:sz w:val="24"/>
          <w:szCs w:val="24"/>
        </w:rPr>
        <w:t>Budgeted cost: £</w:t>
      </w:r>
      <w:r w:rsidR="00085234">
        <w:rPr>
          <w:color w:val="0D0D0D"/>
          <w:sz w:val="24"/>
          <w:szCs w:val="24"/>
        </w:rPr>
        <w:t xml:space="preserve"> 50,982</w:t>
      </w:r>
    </w:p>
    <w:p w:rsidR="00085234" w:rsidRDefault="00085234">
      <w:pPr>
        <w:spacing w:before="240"/>
        <w:ind w:left="133"/>
        <w:rPr>
          <w:color w:val="0D0D0D"/>
          <w:sz w:val="24"/>
          <w:szCs w:val="24"/>
        </w:rPr>
      </w:pPr>
    </w:p>
    <w:p w:rsidR="00085234" w:rsidRDefault="00085234">
      <w:pPr>
        <w:spacing w:before="240"/>
        <w:ind w:left="133"/>
        <w:rPr>
          <w:color w:val="0D0D0D"/>
          <w:sz w:val="24"/>
          <w:szCs w:val="24"/>
        </w:rPr>
      </w:pPr>
    </w:p>
    <w:tbl>
      <w:tblPr>
        <w:tblStyle w:val="TableGrid"/>
        <w:tblW w:w="0" w:type="auto"/>
        <w:tblInd w:w="133" w:type="dxa"/>
        <w:tblLook w:val="04A0" w:firstRow="1" w:lastRow="0" w:firstColumn="1" w:lastColumn="0" w:noHBand="0" w:noVBand="1"/>
      </w:tblPr>
      <w:tblGrid>
        <w:gridCol w:w="3198"/>
        <w:gridCol w:w="4557"/>
        <w:gridCol w:w="1842"/>
      </w:tblGrid>
      <w:tr w:rsidR="00085234" w:rsidTr="00085234">
        <w:tc>
          <w:tcPr>
            <w:tcW w:w="3198" w:type="dxa"/>
          </w:tcPr>
          <w:p w:rsidR="00085234" w:rsidRDefault="00085234" w:rsidP="00085234">
            <w:pPr>
              <w:pBdr>
                <w:top w:val="nil"/>
                <w:left w:val="nil"/>
                <w:bottom w:val="nil"/>
                <w:right w:val="nil"/>
                <w:between w:val="nil"/>
              </w:pBdr>
              <w:spacing w:before="67"/>
              <w:ind w:left="169"/>
              <w:rPr>
                <w:b/>
                <w:bCs/>
                <w:color w:val="000000"/>
                <w:sz w:val="24"/>
                <w:szCs w:val="24"/>
              </w:rPr>
            </w:pPr>
            <w:r>
              <w:rPr>
                <w:b/>
                <w:bCs/>
                <w:color w:val="0D0D0D"/>
                <w:sz w:val="24"/>
                <w:szCs w:val="24"/>
              </w:rPr>
              <w:t>Activity</w:t>
            </w:r>
          </w:p>
        </w:tc>
        <w:tc>
          <w:tcPr>
            <w:tcW w:w="4557" w:type="dxa"/>
          </w:tcPr>
          <w:p w:rsidR="00085234" w:rsidRDefault="00085234" w:rsidP="00085234">
            <w:pPr>
              <w:pBdr>
                <w:top w:val="nil"/>
                <w:left w:val="nil"/>
                <w:bottom w:val="nil"/>
                <w:right w:val="nil"/>
                <w:between w:val="nil"/>
              </w:pBdr>
              <w:spacing w:before="67"/>
              <w:ind w:left="164"/>
              <w:rPr>
                <w:b/>
                <w:bCs/>
                <w:color w:val="000000"/>
                <w:sz w:val="24"/>
                <w:szCs w:val="24"/>
              </w:rPr>
            </w:pPr>
            <w:r>
              <w:rPr>
                <w:b/>
                <w:bCs/>
                <w:color w:val="0D0D0D"/>
                <w:sz w:val="24"/>
                <w:szCs w:val="24"/>
              </w:rPr>
              <w:t>Evidence that supports this approach</w:t>
            </w:r>
          </w:p>
        </w:tc>
        <w:tc>
          <w:tcPr>
            <w:tcW w:w="1842" w:type="dxa"/>
          </w:tcPr>
          <w:p w:rsidR="00085234" w:rsidRDefault="00085234" w:rsidP="00085234">
            <w:pPr>
              <w:pBdr>
                <w:top w:val="nil"/>
                <w:left w:val="nil"/>
                <w:bottom w:val="nil"/>
                <w:right w:val="nil"/>
                <w:between w:val="nil"/>
              </w:pBdr>
              <w:spacing w:before="67"/>
              <w:ind w:left="173" w:right="243"/>
              <w:jc w:val="both"/>
              <w:rPr>
                <w:b/>
                <w:bCs/>
                <w:color w:val="000000"/>
                <w:sz w:val="24"/>
                <w:szCs w:val="24"/>
              </w:rPr>
            </w:pPr>
            <w:r>
              <w:rPr>
                <w:b/>
                <w:bCs/>
                <w:color w:val="0D0D0D"/>
                <w:sz w:val="24"/>
                <w:szCs w:val="24"/>
              </w:rPr>
              <w:t>Challenge number(s) addressed</w:t>
            </w:r>
          </w:p>
        </w:tc>
      </w:tr>
      <w:tr w:rsidR="00085234" w:rsidTr="00085234">
        <w:tc>
          <w:tcPr>
            <w:tcW w:w="3198" w:type="dxa"/>
          </w:tcPr>
          <w:p w:rsidR="00085234" w:rsidRPr="00085234" w:rsidRDefault="00085234" w:rsidP="00085234">
            <w:pPr>
              <w:widowControl/>
              <w:spacing w:before="100" w:beforeAutospacing="1" w:after="100" w:afterAutospacing="1"/>
              <w:rPr>
                <w:rFonts w:ascii="Times New Roman" w:eastAsia="Times New Roman" w:hAnsi="Times New Roman" w:cs="Times New Roman"/>
                <w:sz w:val="24"/>
                <w:szCs w:val="24"/>
                <w:lang w:val="en-GB"/>
              </w:rPr>
            </w:pPr>
            <w:r w:rsidRPr="00085234">
              <w:rPr>
                <w:rFonts w:ascii="Times New Roman" w:eastAsia="Times New Roman" w:hAnsi="Times New Roman" w:cs="Times New Roman"/>
                <w:bCs/>
                <w:sz w:val="24"/>
                <w:szCs w:val="24"/>
                <w:lang w:val="en-GB"/>
              </w:rPr>
              <w:t>Workplace Visits &amp; Employer Engagement (Gatsby Benchmarks)</w:t>
            </w:r>
          </w:p>
          <w:p w:rsidR="00085234" w:rsidRDefault="00085234" w:rsidP="00085234">
            <w:pPr>
              <w:spacing w:before="240"/>
              <w:rPr>
                <w:i/>
                <w:iCs/>
                <w:sz w:val="24"/>
                <w:szCs w:val="24"/>
              </w:rPr>
            </w:pPr>
          </w:p>
        </w:tc>
        <w:tc>
          <w:tcPr>
            <w:tcW w:w="4557" w:type="dxa"/>
          </w:tcPr>
          <w:p w:rsidR="00085234" w:rsidRPr="00085234" w:rsidRDefault="00085234" w:rsidP="00085234">
            <w:pPr>
              <w:pStyle w:val="NormalWeb"/>
            </w:pPr>
            <w:r w:rsidRPr="00085234">
              <w:rPr>
                <w:bCs/>
              </w:rPr>
              <w:t>The Evidence:</w:t>
            </w:r>
            <w:r w:rsidRPr="00085234">
              <w:t xml:space="preserve"> Research by </w:t>
            </w:r>
            <w:proofErr w:type="spellStart"/>
            <w:r w:rsidRPr="00085234">
              <w:rPr>
                <w:bCs/>
              </w:rPr>
              <w:t>Dr.</w:t>
            </w:r>
            <w:proofErr w:type="spellEnd"/>
            <w:r w:rsidRPr="00085234">
              <w:rPr>
                <w:bCs/>
              </w:rPr>
              <w:t xml:space="preserve"> Anthony Mann (Education and Employers Taskforce)</w:t>
            </w:r>
            <w:r w:rsidRPr="00085234">
              <w:t>.</w:t>
            </w:r>
          </w:p>
          <w:p w:rsidR="00085234" w:rsidRPr="00085234" w:rsidRDefault="00085234" w:rsidP="00085234">
            <w:pPr>
              <w:pStyle w:val="NormalWeb"/>
            </w:pPr>
            <w:r w:rsidRPr="00085234">
              <w:rPr>
                <w:bCs/>
              </w:rPr>
              <w:t>Impact Data:</w:t>
            </w:r>
            <w:r w:rsidRPr="00085234">
              <w:t xml:space="preserve"> Students who have </w:t>
            </w:r>
            <w:r w:rsidRPr="00085234">
              <w:rPr>
                <w:bCs/>
              </w:rPr>
              <w:t>4 or more encounters</w:t>
            </w:r>
            <w:r w:rsidRPr="00085234">
              <w:t xml:space="preserve"> with employers are </w:t>
            </w:r>
            <w:r w:rsidRPr="00085234">
              <w:rPr>
                <w:bCs/>
              </w:rPr>
              <w:t>86% less likely to become NEET</w:t>
            </w:r>
            <w:r w:rsidRPr="00085234">
              <w:t xml:space="preserve"> (Not in Education, Employment, or Training).</w:t>
            </w:r>
          </w:p>
          <w:p w:rsidR="00085234" w:rsidRPr="00085234" w:rsidRDefault="00085234" w:rsidP="00085234">
            <w:pPr>
              <w:pStyle w:val="NormalWeb"/>
            </w:pPr>
            <w:r w:rsidRPr="00085234">
              <w:rPr>
                <w:bCs/>
              </w:rPr>
              <w:t>Why for Rural/Deprived Context:</w:t>
            </w:r>
            <w:r w:rsidRPr="00085234">
              <w:t xml:space="preserve"> The </w:t>
            </w:r>
            <w:r w:rsidRPr="00085234">
              <w:rPr>
                <w:bCs/>
              </w:rPr>
              <w:t>Social Mobility Commission</w:t>
            </w:r>
            <w:r w:rsidRPr="00085234">
              <w:t xml:space="preserve"> identifies "cold spots" (like parts of the Forest of Dean) where local labour markets are limited. Students cannot "be what they cannot see." Bringing in outside employers helps break the "low aspiration cycle" linked to the immediate local economy.</w:t>
            </w:r>
          </w:p>
          <w:p w:rsidR="00085234" w:rsidRPr="00085234" w:rsidRDefault="00085234" w:rsidP="00085234">
            <w:pPr>
              <w:spacing w:before="240"/>
              <w:rPr>
                <w:i/>
                <w:iCs/>
                <w:sz w:val="24"/>
                <w:szCs w:val="24"/>
              </w:rPr>
            </w:pPr>
          </w:p>
        </w:tc>
        <w:tc>
          <w:tcPr>
            <w:tcW w:w="1842" w:type="dxa"/>
          </w:tcPr>
          <w:p w:rsidR="00085234" w:rsidRPr="00085234" w:rsidRDefault="00085234" w:rsidP="00085234">
            <w:pPr>
              <w:spacing w:before="240"/>
              <w:rPr>
                <w:i/>
                <w:iCs/>
                <w:sz w:val="24"/>
                <w:szCs w:val="24"/>
              </w:rPr>
            </w:pPr>
            <w:r w:rsidRPr="00085234">
              <w:rPr>
                <w:i/>
                <w:iCs/>
                <w:sz w:val="24"/>
                <w:szCs w:val="24"/>
              </w:rPr>
              <w:t>1&amp; 5</w:t>
            </w:r>
          </w:p>
        </w:tc>
      </w:tr>
      <w:tr w:rsidR="00085234" w:rsidTr="00085234">
        <w:tc>
          <w:tcPr>
            <w:tcW w:w="3198" w:type="dxa"/>
          </w:tcPr>
          <w:p w:rsidR="00085234" w:rsidRDefault="00085234" w:rsidP="00085234">
            <w:pPr>
              <w:spacing w:before="240"/>
              <w:rPr>
                <w:i/>
                <w:iCs/>
                <w:sz w:val="24"/>
                <w:szCs w:val="24"/>
              </w:rPr>
            </w:pPr>
            <w:r>
              <w:t xml:space="preserve">University Immersion </w:t>
            </w:r>
          </w:p>
        </w:tc>
        <w:tc>
          <w:tcPr>
            <w:tcW w:w="4557" w:type="dxa"/>
          </w:tcPr>
          <w:p w:rsidR="00085234" w:rsidRDefault="00085234" w:rsidP="00085234">
            <w:pPr>
              <w:pStyle w:val="NormalWeb"/>
            </w:pPr>
            <w:r w:rsidRPr="00085234">
              <w:rPr>
                <w:bCs/>
              </w:rPr>
              <w:t>The Evidence:</w:t>
            </w:r>
            <w:r w:rsidRPr="00085234">
              <w:t xml:space="preserve"> The </w:t>
            </w:r>
            <w:r w:rsidRPr="00085234">
              <w:rPr>
                <w:bCs/>
              </w:rPr>
              <w:t>Sutton Trust</w:t>
            </w:r>
            <w:r w:rsidRPr="00085234">
              <w:t xml:space="preserve"> reviews of summer schools.</w:t>
            </w:r>
          </w:p>
          <w:p w:rsidR="00085234" w:rsidRPr="00085234" w:rsidRDefault="00085234" w:rsidP="00085234">
            <w:pPr>
              <w:pStyle w:val="NormalWeb"/>
            </w:pPr>
            <w:r w:rsidRPr="00085234">
              <w:rPr>
                <w:bCs/>
              </w:rPr>
              <w:t>Impact Data:</w:t>
            </w:r>
            <w:r w:rsidRPr="00085234">
              <w:t xml:space="preserve"> Participation in higher education outreach is linked to increased confidence and a higher likelihood of applying to university for students from non-traditional backgrounds.</w:t>
            </w:r>
          </w:p>
          <w:p w:rsidR="00085234" w:rsidRPr="00085234" w:rsidRDefault="00085234" w:rsidP="00085234">
            <w:pPr>
              <w:pStyle w:val="NormalWeb"/>
            </w:pPr>
            <w:r w:rsidRPr="00085234">
              <w:rPr>
                <w:bCs/>
              </w:rPr>
              <w:t>Why for Rural/Deprived Context:</w:t>
            </w:r>
            <w:r w:rsidRPr="00085234">
              <w:t xml:space="preserve"> It addresses "geographic immobility." Students in isolated rural communities often fear moving away. Residential trips demystify the university experience and reduce the "fear of the unknown."</w:t>
            </w:r>
          </w:p>
          <w:p w:rsidR="00085234" w:rsidRPr="00085234" w:rsidRDefault="00085234" w:rsidP="00085234">
            <w:pPr>
              <w:spacing w:before="240"/>
              <w:rPr>
                <w:i/>
                <w:iCs/>
                <w:sz w:val="24"/>
                <w:szCs w:val="24"/>
              </w:rPr>
            </w:pPr>
          </w:p>
        </w:tc>
        <w:tc>
          <w:tcPr>
            <w:tcW w:w="1842" w:type="dxa"/>
          </w:tcPr>
          <w:p w:rsidR="00085234" w:rsidRDefault="00085234" w:rsidP="00085234">
            <w:pPr>
              <w:spacing w:before="240"/>
              <w:rPr>
                <w:i/>
                <w:iCs/>
                <w:sz w:val="24"/>
                <w:szCs w:val="24"/>
              </w:rPr>
            </w:pPr>
            <w:r>
              <w:rPr>
                <w:i/>
                <w:iCs/>
                <w:sz w:val="24"/>
                <w:szCs w:val="24"/>
              </w:rPr>
              <w:t>1 &amp; 4</w:t>
            </w:r>
          </w:p>
        </w:tc>
      </w:tr>
      <w:tr w:rsidR="00085234" w:rsidTr="00085234">
        <w:tc>
          <w:tcPr>
            <w:tcW w:w="3198" w:type="dxa"/>
          </w:tcPr>
          <w:p w:rsidR="00085234" w:rsidRDefault="00085234" w:rsidP="00085234">
            <w:pPr>
              <w:pBdr>
                <w:top w:val="nil"/>
                <w:left w:val="nil"/>
                <w:bottom w:val="nil"/>
                <w:right w:val="nil"/>
                <w:between w:val="nil"/>
              </w:pBdr>
              <w:spacing w:before="56"/>
              <w:ind w:left="169" w:right="89"/>
              <w:rPr>
                <w:color w:val="000000"/>
              </w:rPr>
            </w:pPr>
            <w:r>
              <w:rPr>
                <w:color w:val="0D0D0D"/>
              </w:rPr>
              <w:t>Mental Health Practitioner to work alongside the already outstanding pastoral team</w:t>
            </w:r>
          </w:p>
        </w:tc>
        <w:tc>
          <w:tcPr>
            <w:tcW w:w="4557" w:type="dxa"/>
          </w:tcPr>
          <w:p w:rsidR="00085234" w:rsidRPr="00085234" w:rsidRDefault="00085234" w:rsidP="00085234">
            <w:pPr>
              <w:pBdr>
                <w:top w:val="nil"/>
                <w:left w:val="nil"/>
                <w:bottom w:val="nil"/>
                <w:right w:val="nil"/>
                <w:between w:val="nil"/>
              </w:pBdr>
              <w:ind w:left="104" w:right="141"/>
              <w:rPr>
                <w:color w:val="000000"/>
              </w:rPr>
            </w:pPr>
            <w:r w:rsidRPr="00085234">
              <w:rPr>
                <w:color w:val="0D0D0D"/>
              </w:rPr>
              <w:t xml:space="preserve">EIF - Adolescent mental health: A systematic review on the effectiveness of school-based interventions - </w:t>
            </w:r>
            <w:r w:rsidRPr="00085234">
              <w:rPr>
                <w:i/>
                <w:iCs/>
                <w:color w:val="0D0D0D"/>
              </w:rPr>
              <w:t xml:space="preserve">Over the past two decades, we have witnessed deteriorating mental health among young people in the UK. Most recently, the significant disruption and uncertainty </w:t>
            </w:r>
            <w:r w:rsidRPr="00085234">
              <w:rPr>
                <w:i/>
                <w:iCs/>
                <w:color w:val="0D0D0D"/>
              </w:rPr>
              <w:lastRenderedPageBreak/>
              <w:t xml:space="preserve">created by Covid-19 has put more young people at risk of experiencing mental health and </w:t>
            </w:r>
            <w:proofErr w:type="spellStart"/>
            <w:r w:rsidRPr="00085234">
              <w:rPr>
                <w:i/>
                <w:iCs/>
                <w:color w:val="0D0D0D"/>
              </w:rPr>
              <w:t>behavioural</w:t>
            </w:r>
            <w:proofErr w:type="spellEnd"/>
            <w:r w:rsidRPr="00085234">
              <w:rPr>
                <w:i/>
                <w:iCs/>
                <w:color w:val="0D0D0D"/>
              </w:rPr>
              <w:t xml:space="preserve"> difficulties </w:t>
            </w:r>
            <w:r w:rsidRPr="00085234">
              <w:rPr>
                <w:color w:val="0D0D0D"/>
              </w:rPr>
              <w:t>(Mansfield et al., 2021).</w:t>
            </w:r>
          </w:p>
          <w:p w:rsidR="00085234" w:rsidRPr="00085234" w:rsidRDefault="00085234" w:rsidP="00085234">
            <w:pPr>
              <w:pBdr>
                <w:top w:val="nil"/>
                <w:left w:val="nil"/>
                <w:bottom w:val="nil"/>
                <w:right w:val="nil"/>
                <w:between w:val="nil"/>
              </w:pBdr>
              <w:ind w:left="104" w:right="141"/>
              <w:rPr>
                <w:color w:val="000000"/>
              </w:rPr>
            </w:pPr>
            <w:r w:rsidRPr="00085234">
              <w:rPr>
                <w:color w:val="0D0D0D"/>
              </w:rPr>
              <w:t>Recommendations include providing external mental health expertise to schools to support the most vulnerable; this is an area we need to develop. EEF findings show social and emotional learning approaches have a positive impact, on average, of 4 months’ additional progress in academic outcomes over the course of an academic year.</w:t>
            </w:r>
          </w:p>
        </w:tc>
        <w:tc>
          <w:tcPr>
            <w:tcW w:w="1842" w:type="dxa"/>
          </w:tcPr>
          <w:p w:rsidR="00085234" w:rsidRDefault="00085234" w:rsidP="00085234">
            <w:pPr>
              <w:spacing w:before="240"/>
              <w:rPr>
                <w:i/>
                <w:iCs/>
                <w:sz w:val="24"/>
                <w:szCs w:val="24"/>
              </w:rPr>
            </w:pPr>
            <w:r>
              <w:rPr>
                <w:i/>
                <w:iCs/>
                <w:sz w:val="24"/>
                <w:szCs w:val="24"/>
              </w:rPr>
              <w:lastRenderedPageBreak/>
              <w:t>1 &amp; 4</w:t>
            </w:r>
          </w:p>
        </w:tc>
      </w:tr>
      <w:tr w:rsidR="00085234" w:rsidTr="00085234">
        <w:tc>
          <w:tcPr>
            <w:tcW w:w="3198" w:type="dxa"/>
          </w:tcPr>
          <w:p w:rsidR="00085234" w:rsidRDefault="00085234" w:rsidP="00085234">
            <w:pPr>
              <w:pBdr>
                <w:top w:val="nil"/>
                <w:left w:val="nil"/>
                <w:bottom w:val="nil"/>
                <w:right w:val="nil"/>
                <w:between w:val="nil"/>
              </w:pBdr>
              <w:spacing w:before="61"/>
              <w:ind w:left="169" w:right="89"/>
              <w:rPr>
                <w:color w:val="000000"/>
              </w:rPr>
            </w:pPr>
            <w:r>
              <w:rPr>
                <w:color w:val="0D0D0D"/>
              </w:rPr>
              <w:t>Educational Visits and Enrichment Opportunities (20% quota on all trips)</w:t>
            </w:r>
          </w:p>
        </w:tc>
        <w:tc>
          <w:tcPr>
            <w:tcW w:w="4557" w:type="dxa"/>
          </w:tcPr>
          <w:p w:rsidR="00085234" w:rsidRDefault="00085234" w:rsidP="00085234">
            <w:pPr>
              <w:pBdr>
                <w:top w:val="nil"/>
                <w:left w:val="nil"/>
                <w:bottom w:val="nil"/>
                <w:right w:val="nil"/>
                <w:between w:val="nil"/>
              </w:pBdr>
              <w:ind w:left="104" w:right="141"/>
              <w:rPr>
                <w:color w:val="000000"/>
              </w:rPr>
            </w:pPr>
            <w:r>
              <w:rPr>
                <w:color w:val="0D0D0D"/>
              </w:rPr>
              <w:t xml:space="preserve">Evidence from the Sutton Trust and </w:t>
            </w:r>
            <w:proofErr w:type="spellStart"/>
            <w:r>
              <w:rPr>
                <w:color w:val="0D0D0D"/>
              </w:rPr>
              <w:t>SecEd</w:t>
            </w:r>
            <w:proofErr w:type="spellEnd"/>
            <w:r>
              <w:rPr>
                <w:color w:val="0D0D0D"/>
              </w:rPr>
              <w:t xml:space="preserve"> explains how the building of cultural capital can have an impact upon a students’ skills and world knowledge and awareness that disadvantaged students can lack.</w:t>
            </w:r>
          </w:p>
        </w:tc>
        <w:tc>
          <w:tcPr>
            <w:tcW w:w="1842" w:type="dxa"/>
          </w:tcPr>
          <w:p w:rsidR="00085234" w:rsidRDefault="00085234" w:rsidP="00085234">
            <w:pPr>
              <w:spacing w:before="240"/>
              <w:rPr>
                <w:i/>
                <w:iCs/>
                <w:sz w:val="24"/>
                <w:szCs w:val="24"/>
              </w:rPr>
            </w:pPr>
            <w:r>
              <w:rPr>
                <w:i/>
                <w:iCs/>
                <w:sz w:val="24"/>
                <w:szCs w:val="24"/>
              </w:rPr>
              <w:t xml:space="preserve">1, 4 &amp; 5 </w:t>
            </w:r>
          </w:p>
        </w:tc>
      </w:tr>
      <w:tr w:rsidR="00085234" w:rsidTr="00085234">
        <w:tc>
          <w:tcPr>
            <w:tcW w:w="3198" w:type="dxa"/>
          </w:tcPr>
          <w:p w:rsidR="00085234" w:rsidRDefault="00085234" w:rsidP="00085234">
            <w:pPr>
              <w:pBdr>
                <w:top w:val="nil"/>
                <w:left w:val="nil"/>
                <w:bottom w:val="nil"/>
                <w:right w:val="nil"/>
                <w:between w:val="nil"/>
              </w:pBdr>
              <w:spacing w:before="70"/>
              <w:ind w:left="169"/>
              <w:rPr>
                <w:color w:val="000000"/>
              </w:rPr>
            </w:pPr>
            <w:r>
              <w:rPr>
                <w:color w:val="0D0D0D"/>
              </w:rPr>
              <w:t>Nurture Club</w:t>
            </w:r>
          </w:p>
        </w:tc>
        <w:tc>
          <w:tcPr>
            <w:tcW w:w="4557" w:type="dxa"/>
          </w:tcPr>
          <w:p w:rsidR="00085234" w:rsidRDefault="00085234" w:rsidP="00085234">
            <w:pPr>
              <w:pBdr>
                <w:top w:val="nil"/>
                <w:left w:val="nil"/>
                <w:bottom w:val="nil"/>
                <w:right w:val="nil"/>
                <w:between w:val="nil"/>
              </w:pBdr>
              <w:spacing w:before="10"/>
              <w:ind w:left="104"/>
              <w:rPr>
                <w:color w:val="000000"/>
              </w:rPr>
            </w:pPr>
            <w:r>
              <w:rPr>
                <w:color w:val="0D0D0D"/>
              </w:rPr>
              <w:t>ESTYN (the education and training inspectorate for Wales) published a report providing advice to schools to improve attendance in secondary schools. They found that in Welsh schools “Pupil support centers and nurture groups are used to good effect and have enabled pupils to attend school more often. These vulnerable pupils receive high levels of support.”</w:t>
            </w:r>
          </w:p>
          <w:p w:rsidR="00085234" w:rsidRDefault="00085234" w:rsidP="00085234">
            <w:pPr>
              <w:pBdr>
                <w:top w:val="nil"/>
                <w:left w:val="nil"/>
                <w:bottom w:val="nil"/>
                <w:right w:val="nil"/>
                <w:between w:val="nil"/>
              </w:pBdr>
              <w:spacing w:line="226" w:lineRule="auto"/>
              <w:ind w:left="104"/>
              <w:rPr>
                <w:i/>
                <w:iCs/>
                <w:color w:val="000000"/>
              </w:rPr>
            </w:pPr>
            <w:r>
              <w:rPr>
                <w:i/>
                <w:iCs/>
                <w:color w:val="0D0D0D"/>
              </w:rPr>
              <w:t>ESTYN (2014) – Attendance in secondary schools.</w:t>
            </w:r>
          </w:p>
        </w:tc>
        <w:tc>
          <w:tcPr>
            <w:tcW w:w="1842" w:type="dxa"/>
          </w:tcPr>
          <w:p w:rsidR="00085234" w:rsidRDefault="00085234" w:rsidP="00085234">
            <w:pPr>
              <w:spacing w:before="240"/>
              <w:rPr>
                <w:i/>
                <w:iCs/>
                <w:sz w:val="24"/>
                <w:szCs w:val="24"/>
              </w:rPr>
            </w:pPr>
            <w:r>
              <w:rPr>
                <w:i/>
                <w:iCs/>
                <w:sz w:val="24"/>
                <w:szCs w:val="24"/>
              </w:rPr>
              <w:t>1, 4 &amp; 5</w:t>
            </w:r>
          </w:p>
        </w:tc>
      </w:tr>
    </w:tbl>
    <w:p w:rsidR="00085234" w:rsidRDefault="00085234">
      <w:pPr>
        <w:spacing w:before="240"/>
        <w:ind w:left="133"/>
        <w:rPr>
          <w:i/>
          <w:iCs/>
          <w:sz w:val="24"/>
          <w:szCs w:val="24"/>
        </w:rPr>
      </w:pPr>
    </w:p>
    <w:p w:rsidR="002D22C2" w:rsidRDefault="002D22C2">
      <w:pPr>
        <w:pBdr>
          <w:top w:val="nil"/>
          <w:left w:val="nil"/>
          <w:bottom w:val="nil"/>
          <w:right w:val="nil"/>
          <w:between w:val="nil"/>
        </w:pBdr>
        <w:spacing w:before="2"/>
        <w:rPr>
          <w:i/>
          <w:iCs/>
          <w:color w:val="000000"/>
          <w:sz w:val="14"/>
          <w:szCs w:val="14"/>
        </w:rPr>
      </w:pPr>
    </w:p>
    <w:p w:rsidR="002D22C2" w:rsidRDefault="002D22C2">
      <w:pPr>
        <w:ind w:left="133"/>
        <w:rPr>
          <w:b/>
          <w:bCs/>
          <w:color w:val="0F4E74"/>
          <w:sz w:val="28"/>
          <w:szCs w:val="28"/>
        </w:rPr>
      </w:pPr>
    </w:p>
    <w:p w:rsidR="002D22C2" w:rsidRDefault="000672A0">
      <w:pPr>
        <w:ind w:left="133"/>
        <w:rPr>
          <w:i/>
          <w:iCs/>
          <w:sz w:val="28"/>
          <w:szCs w:val="28"/>
          <w:highlight w:val="red"/>
        </w:rPr>
        <w:sectPr w:rsidR="002D22C2">
          <w:type w:val="continuous"/>
          <w:pgSz w:w="11920" w:h="16840"/>
          <w:pgMar w:top="1100" w:right="1180" w:bottom="960" w:left="1000" w:header="0" w:footer="772" w:gutter="0"/>
          <w:cols w:space="720"/>
        </w:sectPr>
      </w:pPr>
      <w:r>
        <w:rPr>
          <w:b/>
          <w:bCs/>
          <w:color w:val="0F4E74"/>
          <w:sz w:val="28"/>
          <w:szCs w:val="28"/>
        </w:rPr>
        <w:t xml:space="preserve">Total budgeted cost: </w:t>
      </w:r>
      <w:r>
        <w:rPr>
          <w:color w:val="0D0D0D"/>
          <w:sz w:val="24"/>
          <w:szCs w:val="24"/>
        </w:rPr>
        <w:t>£</w:t>
      </w:r>
      <w:r w:rsidR="00085234">
        <w:rPr>
          <w:color w:val="0D0D0D"/>
          <w:sz w:val="24"/>
          <w:szCs w:val="24"/>
        </w:rPr>
        <w:t xml:space="preserve"> 225,820</w:t>
      </w:r>
      <w:bookmarkStart w:id="10" w:name="_GoBack"/>
      <w:bookmarkEnd w:id="10"/>
    </w:p>
    <w:p w:rsidR="002D22C2" w:rsidRDefault="000672A0">
      <w:pPr>
        <w:pStyle w:val="Heading1"/>
        <w:ind w:firstLine="133"/>
      </w:pPr>
      <w:r>
        <w:rPr>
          <w:color w:val="0F4E74"/>
        </w:rPr>
        <w:lastRenderedPageBreak/>
        <w:t>Part B: Review of outcomes in the previous academic year</w:t>
      </w:r>
    </w:p>
    <w:p w:rsidR="002D22C2" w:rsidRDefault="002D22C2">
      <w:pPr>
        <w:pBdr>
          <w:top w:val="nil"/>
          <w:left w:val="nil"/>
          <w:bottom w:val="nil"/>
          <w:right w:val="nil"/>
          <w:between w:val="nil"/>
        </w:pBdr>
        <w:spacing w:before="66"/>
        <w:rPr>
          <w:b/>
          <w:bCs/>
          <w:color w:val="000000"/>
          <w:sz w:val="36"/>
          <w:szCs w:val="36"/>
        </w:rPr>
      </w:pPr>
    </w:p>
    <w:p w:rsidR="002D22C2" w:rsidRDefault="000672A0">
      <w:pPr>
        <w:pStyle w:val="Heading2"/>
        <w:ind w:firstLine="133"/>
      </w:pPr>
      <w:r>
        <w:rPr>
          <w:color w:val="0F4E74"/>
        </w:rPr>
        <w:t>Pupil premium strategy outcomes</w:t>
      </w:r>
    </w:p>
    <w:p w:rsidR="002D22C2" w:rsidRDefault="000672A0">
      <w:pPr>
        <w:pStyle w:val="Heading4"/>
        <w:spacing w:line="288" w:lineRule="auto"/>
        <w:ind w:firstLine="133"/>
      </w:pPr>
      <w:r>
        <w:rPr>
          <w:color w:val="0D0D0D"/>
        </w:rPr>
        <w:t>This details the impact that our pupil premium activity had on pupils in the 2024 to 2025 academic year.</w:t>
      </w:r>
    </w:p>
    <w:p w:rsidR="002D22C2" w:rsidRDefault="000672A0">
      <w:pPr>
        <w:pBdr>
          <w:top w:val="nil"/>
          <w:left w:val="nil"/>
          <w:bottom w:val="nil"/>
          <w:right w:val="nil"/>
          <w:between w:val="nil"/>
        </w:pBdr>
        <w:spacing w:before="255"/>
        <w:ind w:left="238"/>
      </w:pPr>
      <w:r>
        <w:t xml:space="preserve">Dene Magna achieved the following GCSE </w:t>
      </w:r>
    </w:p>
    <w:p w:rsidR="002D22C2" w:rsidRDefault="002D22C2">
      <w:pPr>
        <w:pBdr>
          <w:top w:val="nil"/>
          <w:left w:val="nil"/>
          <w:bottom w:val="nil"/>
          <w:right w:val="nil"/>
          <w:between w:val="nil"/>
        </w:pBdr>
        <w:spacing w:before="255"/>
        <w:ind w:left="238"/>
      </w:pPr>
    </w:p>
    <w:p w:rsidR="002D22C2" w:rsidRDefault="002D22C2">
      <w:pPr>
        <w:spacing w:before="255"/>
        <w:ind w:left="238"/>
      </w:pPr>
    </w:p>
    <w:sdt>
      <w:sdtPr>
        <w:tag w:val="goog_rdk_0"/>
        <w:id w:val="1995197283"/>
        <w:lock w:val="contentLocked"/>
      </w:sdtPr>
      <w:sdtEndPr/>
      <w:sdtContent>
        <w:tbl>
          <w:tblPr>
            <w:tblStyle w:val="afe"/>
            <w:tblW w:w="9502" w:type="dxa"/>
            <w:tblInd w:w="2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8"/>
            <w:gridCol w:w="1358"/>
            <w:gridCol w:w="1358"/>
            <w:gridCol w:w="1357"/>
            <w:gridCol w:w="1357"/>
            <w:gridCol w:w="1357"/>
            <w:gridCol w:w="1357"/>
          </w:tblGrid>
          <w:tr w:rsidR="002D22C2">
            <w:trPr>
              <w:trHeight w:val="420"/>
            </w:trPr>
            <w:tc>
              <w:tcPr>
                <w:tcW w:w="1357" w:type="dxa"/>
                <w:shd w:val="clear" w:color="auto" w:fill="auto"/>
                <w:tcMar>
                  <w:top w:w="100" w:type="dxa"/>
                  <w:left w:w="100" w:type="dxa"/>
                  <w:bottom w:w="100" w:type="dxa"/>
                  <w:right w:w="100" w:type="dxa"/>
                </w:tcMar>
              </w:tcPr>
              <w:p w:rsidR="002D22C2" w:rsidRDefault="002D22C2"/>
            </w:tc>
            <w:tc>
              <w:tcPr>
                <w:tcW w:w="2714" w:type="dxa"/>
                <w:gridSpan w:val="2"/>
                <w:shd w:val="clear" w:color="auto" w:fill="auto"/>
                <w:tcMar>
                  <w:top w:w="100" w:type="dxa"/>
                  <w:left w:w="100" w:type="dxa"/>
                  <w:bottom w:w="100" w:type="dxa"/>
                  <w:right w:w="100" w:type="dxa"/>
                </w:tcMar>
              </w:tcPr>
              <w:p w:rsidR="002D22C2" w:rsidRDefault="000672A0">
                <w:pPr>
                  <w:jc w:val="center"/>
                </w:pPr>
                <w:r>
                  <w:t>2023-24</w:t>
                </w:r>
              </w:p>
            </w:tc>
            <w:tc>
              <w:tcPr>
                <w:tcW w:w="1357" w:type="dxa"/>
                <w:shd w:val="clear" w:color="auto" w:fill="auto"/>
                <w:tcMar>
                  <w:top w:w="100" w:type="dxa"/>
                  <w:left w:w="100" w:type="dxa"/>
                  <w:bottom w:w="100" w:type="dxa"/>
                  <w:right w:w="100" w:type="dxa"/>
                </w:tcMar>
              </w:tcPr>
              <w:p w:rsidR="002D22C2" w:rsidRDefault="000672A0">
                <w:r>
                  <w:t>Gap</w:t>
                </w:r>
              </w:p>
            </w:tc>
            <w:tc>
              <w:tcPr>
                <w:tcW w:w="2714" w:type="dxa"/>
                <w:gridSpan w:val="2"/>
                <w:shd w:val="clear" w:color="auto" w:fill="auto"/>
                <w:tcMar>
                  <w:top w:w="100" w:type="dxa"/>
                  <w:left w:w="100" w:type="dxa"/>
                  <w:bottom w:w="100" w:type="dxa"/>
                  <w:right w:w="100" w:type="dxa"/>
                </w:tcMar>
              </w:tcPr>
              <w:p w:rsidR="002D22C2" w:rsidRDefault="000672A0">
                <w:pPr>
                  <w:jc w:val="center"/>
                </w:pPr>
                <w:r>
                  <w:t>24-25</w:t>
                </w:r>
              </w:p>
            </w:tc>
            <w:tc>
              <w:tcPr>
                <w:tcW w:w="1357" w:type="dxa"/>
                <w:shd w:val="clear" w:color="auto" w:fill="auto"/>
                <w:tcMar>
                  <w:top w:w="100" w:type="dxa"/>
                  <w:left w:w="100" w:type="dxa"/>
                  <w:bottom w:w="100" w:type="dxa"/>
                  <w:right w:w="100" w:type="dxa"/>
                </w:tcMar>
              </w:tcPr>
              <w:p w:rsidR="002D22C2" w:rsidRDefault="000672A0">
                <w:r>
                  <w:t>Gap</w:t>
                </w:r>
              </w:p>
            </w:tc>
          </w:tr>
          <w:tr w:rsidR="002D22C2">
            <w:tc>
              <w:tcPr>
                <w:tcW w:w="1357" w:type="dxa"/>
                <w:shd w:val="clear" w:color="auto" w:fill="auto"/>
                <w:tcMar>
                  <w:top w:w="100" w:type="dxa"/>
                  <w:left w:w="100" w:type="dxa"/>
                  <w:bottom w:w="100" w:type="dxa"/>
                  <w:right w:w="100" w:type="dxa"/>
                </w:tcMar>
              </w:tcPr>
              <w:p w:rsidR="002D22C2" w:rsidRDefault="002D22C2"/>
            </w:tc>
            <w:tc>
              <w:tcPr>
                <w:tcW w:w="1357" w:type="dxa"/>
                <w:shd w:val="clear" w:color="auto" w:fill="auto"/>
                <w:tcMar>
                  <w:top w:w="100" w:type="dxa"/>
                  <w:left w:w="100" w:type="dxa"/>
                  <w:bottom w:w="100" w:type="dxa"/>
                  <w:right w:w="100" w:type="dxa"/>
                </w:tcMar>
              </w:tcPr>
              <w:p w:rsidR="002D22C2" w:rsidRDefault="000672A0">
                <w:r>
                  <w:t>PP</w:t>
                </w:r>
              </w:p>
            </w:tc>
            <w:tc>
              <w:tcPr>
                <w:tcW w:w="1357" w:type="dxa"/>
                <w:shd w:val="clear" w:color="auto" w:fill="auto"/>
                <w:tcMar>
                  <w:top w:w="100" w:type="dxa"/>
                  <w:left w:w="100" w:type="dxa"/>
                  <w:bottom w:w="100" w:type="dxa"/>
                  <w:right w:w="100" w:type="dxa"/>
                </w:tcMar>
              </w:tcPr>
              <w:p w:rsidR="002D22C2" w:rsidRDefault="000672A0">
                <w:r>
                  <w:t>Non PP</w:t>
                </w:r>
              </w:p>
            </w:tc>
            <w:tc>
              <w:tcPr>
                <w:tcW w:w="1357" w:type="dxa"/>
                <w:shd w:val="clear" w:color="auto" w:fill="auto"/>
                <w:tcMar>
                  <w:top w:w="100" w:type="dxa"/>
                  <w:left w:w="100" w:type="dxa"/>
                  <w:bottom w:w="100" w:type="dxa"/>
                  <w:right w:w="100" w:type="dxa"/>
                </w:tcMar>
              </w:tcPr>
              <w:p w:rsidR="002D22C2" w:rsidRDefault="002D22C2"/>
            </w:tc>
            <w:tc>
              <w:tcPr>
                <w:tcW w:w="1357" w:type="dxa"/>
                <w:shd w:val="clear" w:color="auto" w:fill="auto"/>
                <w:tcMar>
                  <w:top w:w="100" w:type="dxa"/>
                  <w:left w:w="100" w:type="dxa"/>
                  <w:bottom w:w="100" w:type="dxa"/>
                  <w:right w:w="100" w:type="dxa"/>
                </w:tcMar>
              </w:tcPr>
              <w:p w:rsidR="002D22C2" w:rsidRDefault="000672A0">
                <w:r>
                  <w:t>PP</w:t>
                </w:r>
              </w:p>
            </w:tc>
            <w:tc>
              <w:tcPr>
                <w:tcW w:w="1357" w:type="dxa"/>
                <w:shd w:val="clear" w:color="auto" w:fill="auto"/>
                <w:tcMar>
                  <w:top w:w="100" w:type="dxa"/>
                  <w:left w:w="100" w:type="dxa"/>
                  <w:bottom w:w="100" w:type="dxa"/>
                  <w:right w:w="100" w:type="dxa"/>
                </w:tcMar>
              </w:tcPr>
              <w:p w:rsidR="002D22C2" w:rsidRDefault="000672A0">
                <w:r>
                  <w:t>Non PP</w:t>
                </w:r>
              </w:p>
            </w:tc>
            <w:tc>
              <w:tcPr>
                <w:tcW w:w="1357" w:type="dxa"/>
                <w:shd w:val="clear" w:color="auto" w:fill="auto"/>
                <w:tcMar>
                  <w:top w:w="100" w:type="dxa"/>
                  <w:left w:w="100" w:type="dxa"/>
                  <w:bottom w:w="100" w:type="dxa"/>
                  <w:right w:w="100" w:type="dxa"/>
                </w:tcMar>
              </w:tcPr>
              <w:p w:rsidR="002D22C2" w:rsidRDefault="002D22C2"/>
            </w:tc>
          </w:tr>
          <w:tr w:rsidR="002D22C2">
            <w:tc>
              <w:tcPr>
                <w:tcW w:w="1357" w:type="dxa"/>
                <w:shd w:val="clear" w:color="auto" w:fill="auto"/>
                <w:tcMar>
                  <w:top w:w="100" w:type="dxa"/>
                  <w:left w:w="100" w:type="dxa"/>
                  <w:bottom w:w="100" w:type="dxa"/>
                  <w:right w:w="100" w:type="dxa"/>
                </w:tcMar>
              </w:tcPr>
              <w:p w:rsidR="002D22C2" w:rsidRDefault="000672A0">
                <w:r>
                  <w:t>A8</w:t>
                </w:r>
              </w:p>
            </w:tc>
            <w:tc>
              <w:tcPr>
                <w:tcW w:w="1357" w:type="dxa"/>
                <w:shd w:val="clear" w:color="auto" w:fill="auto"/>
                <w:tcMar>
                  <w:top w:w="100" w:type="dxa"/>
                  <w:left w:w="100" w:type="dxa"/>
                  <w:bottom w:w="100" w:type="dxa"/>
                  <w:right w:w="100" w:type="dxa"/>
                </w:tcMar>
              </w:tcPr>
              <w:p w:rsidR="002D22C2" w:rsidRDefault="000672A0">
                <w:r>
                  <w:t>33.05</w:t>
                </w:r>
              </w:p>
            </w:tc>
            <w:tc>
              <w:tcPr>
                <w:tcW w:w="1357" w:type="dxa"/>
                <w:shd w:val="clear" w:color="auto" w:fill="auto"/>
                <w:tcMar>
                  <w:top w:w="100" w:type="dxa"/>
                  <w:left w:w="100" w:type="dxa"/>
                  <w:bottom w:w="100" w:type="dxa"/>
                  <w:right w:w="100" w:type="dxa"/>
                </w:tcMar>
              </w:tcPr>
              <w:p w:rsidR="002D22C2" w:rsidRDefault="000672A0">
                <w:r>
                  <w:t>48.53</w:t>
                </w:r>
              </w:p>
            </w:tc>
            <w:tc>
              <w:tcPr>
                <w:tcW w:w="1357" w:type="dxa"/>
                <w:shd w:val="clear" w:color="auto" w:fill="auto"/>
                <w:tcMar>
                  <w:top w:w="100" w:type="dxa"/>
                  <w:left w:w="100" w:type="dxa"/>
                  <w:bottom w:w="100" w:type="dxa"/>
                  <w:right w:w="100" w:type="dxa"/>
                </w:tcMar>
              </w:tcPr>
              <w:p w:rsidR="002D22C2" w:rsidRDefault="000672A0">
                <w:r>
                  <w:t>15.48</w:t>
                </w:r>
              </w:p>
            </w:tc>
            <w:tc>
              <w:tcPr>
                <w:tcW w:w="1357" w:type="dxa"/>
                <w:shd w:val="clear" w:color="auto" w:fill="auto"/>
                <w:tcMar>
                  <w:top w:w="100" w:type="dxa"/>
                  <w:left w:w="100" w:type="dxa"/>
                  <w:bottom w:w="100" w:type="dxa"/>
                  <w:right w:w="100" w:type="dxa"/>
                </w:tcMar>
              </w:tcPr>
              <w:p w:rsidR="002D22C2" w:rsidRDefault="000672A0">
                <w:r>
                  <w:t>42.3</w:t>
                </w:r>
              </w:p>
            </w:tc>
            <w:tc>
              <w:tcPr>
                <w:tcW w:w="1357" w:type="dxa"/>
                <w:shd w:val="clear" w:color="auto" w:fill="auto"/>
                <w:tcMar>
                  <w:top w:w="100" w:type="dxa"/>
                  <w:left w:w="100" w:type="dxa"/>
                  <w:bottom w:w="100" w:type="dxa"/>
                  <w:right w:w="100" w:type="dxa"/>
                </w:tcMar>
              </w:tcPr>
              <w:p w:rsidR="002D22C2" w:rsidRDefault="000672A0">
                <w:r>
                  <w:t>54.97</w:t>
                </w:r>
              </w:p>
            </w:tc>
            <w:tc>
              <w:tcPr>
                <w:tcW w:w="1357" w:type="dxa"/>
                <w:shd w:val="clear" w:color="auto" w:fill="auto"/>
                <w:tcMar>
                  <w:top w:w="100" w:type="dxa"/>
                  <w:left w:w="100" w:type="dxa"/>
                  <w:bottom w:w="100" w:type="dxa"/>
                  <w:right w:w="100" w:type="dxa"/>
                </w:tcMar>
              </w:tcPr>
              <w:p w:rsidR="002D22C2" w:rsidRDefault="000672A0">
                <w:r>
                  <w:t>12.67</w:t>
                </w:r>
              </w:p>
            </w:tc>
          </w:tr>
          <w:tr w:rsidR="002D22C2">
            <w:tc>
              <w:tcPr>
                <w:tcW w:w="1357" w:type="dxa"/>
                <w:shd w:val="clear" w:color="auto" w:fill="auto"/>
                <w:tcMar>
                  <w:top w:w="100" w:type="dxa"/>
                  <w:left w:w="100" w:type="dxa"/>
                  <w:bottom w:w="100" w:type="dxa"/>
                  <w:right w:w="100" w:type="dxa"/>
                </w:tcMar>
              </w:tcPr>
              <w:p w:rsidR="002D22C2" w:rsidRDefault="000672A0">
                <w:r>
                  <w:t>% M&amp;E 5+</w:t>
                </w:r>
              </w:p>
            </w:tc>
            <w:tc>
              <w:tcPr>
                <w:tcW w:w="1357" w:type="dxa"/>
                <w:shd w:val="clear" w:color="auto" w:fill="auto"/>
                <w:tcMar>
                  <w:top w:w="100" w:type="dxa"/>
                  <w:left w:w="100" w:type="dxa"/>
                  <w:bottom w:w="100" w:type="dxa"/>
                  <w:right w:w="100" w:type="dxa"/>
                </w:tcMar>
              </w:tcPr>
              <w:p w:rsidR="002D22C2" w:rsidRDefault="000672A0">
                <w:r>
                  <w:t>12 (25.8)</w:t>
                </w:r>
              </w:p>
            </w:tc>
            <w:tc>
              <w:tcPr>
                <w:tcW w:w="1357" w:type="dxa"/>
                <w:shd w:val="clear" w:color="auto" w:fill="auto"/>
                <w:tcMar>
                  <w:top w:w="100" w:type="dxa"/>
                  <w:left w:w="100" w:type="dxa"/>
                  <w:bottom w:w="100" w:type="dxa"/>
                  <w:right w:w="100" w:type="dxa"/>
                </w:tcMar>
              </w:tcPr>
              <w:p w:rsidR="002D22C2" w:rsidRDefault="000672A0">
                <w:r>
                  <w:t>54 (53.1)</w:t>
                </w:r>
              </w:p>
            </w:tc>
            <w:tc>
              <w:tcPr>
                <w:tcW w:w="1357" w:type="dxa"/>
                <w:shd w:val="clear" w:color="auto" w:fill="auto"/>
                <w:tcMar>
                  <w:top w:w="100" w:type="dxa"/>
                  <w:left w:w="100" w:type="dxa"/>
                  <w:bottom w:w="100" w:type="dxa"/>
                  <w:right w:w="100" w:type="dxa"/>
                </w:tcMar>
              </w:tcPr>
              <w:p w:rsidR="002D22C2" w:rsidRDefault="002D22C2"/>
            </w:tc>
            <w:tc>
              <w:tcPr>
                <w:tcW w:w="1357" w:type="dxa"/>
                <w:shd w:val="clear" w:color="auto" w:fill="auto"/>
                <w:tcMar>
                  <w:top w:w="100" w:type="dxa"/>
                  <w:left w:w="100" w:type="dxa"/>
                  <w:bottom w:w="100" w:type="dxa"/>
                  <w:right w:w="100" w:type="dxa"/>
                </w:tcMar>
              </w:tcPr>
              <w:p w:rsidR="002D22C2" w:rsidRDefault="000672A0">
                <w:r>
                  <w:t>31 (31)</w:t>
                </w:r>
              </w:p>
            </w:tc>
            <w:tc>
              <w:tcPr>
                <w:tcW w:w="1357" w:type="dxa"/>
                <w:shd w:val="clear" w:color="auto" w:fill="auto"/>
                <w:tcMar>
                  <w:top w:w="100" w:type="dxa"/>
                  <w:left w:w="100" w:type="dxa"/>
                  <w:bottom w:w="100" w:type="dxa"/>
                  <w:right w:w="100" w:type="dxa"/>
                </w:tcMar>
              </w:tcPr>
              <w:p w:rsidR="002D22C2" w:rsidRDefault="000672A0">
                <w:r>
                  <w:t>67 (52.8)</w:t>
                </w:r>
              </w:p>
            </w:tc>
            <w:tc>
              <w:tcPr>
                <w:tcW w:w="1357" w:type="dxa"/>
                <w:shd w:val="clear" w:color="auto" w:fill="auto"/>
                <w:tcMar>
                  <w:top w:w="100" w:type="dxa"/>
                  <w:left w:w="100" w:type="dxa"/>
                  <w:bottom w:w="100" w:type="dxa"/>
                  <w:right w:w="100" w:type="dxa"/>
                </w:tcMar>
              </w:tcPr>
              <w:p w:rsidR="002D22C2" w:rsidRDefault="002D22C2"/>
            </w:tc>
          </w:tr>
          <w:tr w:rsidR="002D22C2">
            <w:tc>
              <w:tcPr>
                <w:tcW w:w="1357" w:type="dxa"/>
                <w:shd w:val="clear" w:color="auto" w:fill="auto"/>
                <w:tcMar>
                  <w:top w:w="100" w:type="dxa"/>
                  <w:left w:w="100" w:type="dxa"/>
                  <w:bottom w:w="100" w:type="dxa"/>
                  <w:right w:w="100" w:type="dxa"/>
                </w:tcMar>
              </w:tcPr>
              <w:p w:rsidR="002D22C2" w:rsidRDefault="000672A0">
                <w:r>
                  <w:t>% M&amp;E 4+</w:t>
                </w:r>
              </w:p>
            </w:tc>
            <w:tc>
              <w:tcPr>
                <w:tcW w:w="1357" w:type="dxa"/>
                <w:shd w:val="clear" w:color="auto" w:fill="auto"/>
                <w:tcMar>
                  <w:top w:w="100" w:type="dxa"/>
                  <w:left w:w="100" w:type="dxa"/>
                  <w:bottom w:w="100" w:type="dxa"/>
                  <w:right w:w="100" w:type="dxa"/>
                </w:tcMar>
              </w:tcPr>
              <w:p w:rsidR="002D22C2" w:rsidRDefault="000672A0">
                <w:r>
                  <w:t>35 (35)</w:t>
                </w:r>
              </w:p>
            </w:tc>
            <w:tc>
              <w:tcPr>
                <w:tcW w:w="1357" w:type="dxa"/>
                <w:shd w:val="clear" w:color="auto" w:fill="auto"/>
                <w:tcMar>
                  <w:top w:w="100" w:type="dxa"/>
                  <w:left w:w="100" w:type="dxa"/>
                  <w:bottom w:w="100" w:type="dxa"/>
                  <w:right w:w="100" w:type="dxa"/>
                </w:tcMar>
              </w:tcPr>
              <w:p w:rsidR="002D22C2" w:rsidRDefault="000672A0">
                <w:r>
                  <w:t>74 (74)</w:t>
                </w:r>
              </w:p>
            </w:tc>
            <w:tc>
              <w:tcPr>
                <w:tcW w:w="1357" w:type="dxa"/>
                <w:shd w:val="clear" w:color="auto" w:fill="auto"/>
                <w:tcMar>
                  <w:top w:w="100" w:type="dxa"/>
                  <w:left w:w="100" w:type="dxa"/>
                  <w:bottom w:w="100" w:type="dxa"/>
                  <w:right w:w="100" w:type="dxa"/>
                </w:tcMar>
              </w:tcPr>
              <w:p w:rsidR="002D22C2" w:rsidRDefault="002D22C2"/>
            </w:tc>
            <w:tc>
              <w:tcPr>
                <w:tcW w:w="1357" w:type="dxa"/>
                <w:shd w:val="clear" w:color="auto" w:fill="auto"/>
                <w:tcMar>
                  <w:top w:w="100" w:type="dxa"/>
                  <w:left w:w="100" w:type="dxa"/>
                  <w:bottom w:w="100" w:type="dxa"/>
                  <w:right w:w="100" w:type="dxa"/>
                </w:tcMar>
              </w:tcPr>
              <w:p w:rsidR="002D22C2" w:rsidRDefault="000672A0">
                <w:r>
                  <w:t>50 (44)</w:t>
                </w:r>
              </w:p>
            </w:tc>
            <w:tc>
              <w:tcPr>
                <w:tcW w:w="1357" w:type="dxa"/>
                <w:shd w:val="clear" w:color="auto" w:fill="auto"/>
                <w:tcMar>
                  <w:top w:w="100" w:type="dxa"/>
                  <w:left w:w="100" w:type="dxa"/>
                  <w:bottom w:w="100" w:type="dxa"/>
                  <w:right w:w="100" w:type="dxa"/>
                </w:tcMar>
              </w:tcPr>
              <w:p w:rsidR="002D22C2" w:rsidRDefault="000672A0">
                <w:r>
                  <w:t>84 (73)</w:t>
                </w:r>
              </w:p>
            </w:tc>
            <w:tc>
              <w:tcPr>
                <w:tcW w:w="1357" w:type="dxa"/>
                <w:shd w:val="clear" w:color="auto" w:fill="auto"/>
                <w:tcMar>
                  <w:top w:w="100" w:type="dxa"/>
                  <w:left w:w="100" w:type="dxa"/>
                  <w:bottom w:w="100" w:type="dxa"/>
                  <w:right w:w="100" w:type="dxa"/>
                </w:tcMar>
              </w:tcPr>
              <w:p w:rsidR="002D22C2" w:rsidRDefault="000672A0"/>
            </w:tc>
          </w:tr>
        </w:tbl>
      </w:sdtContent>
    </w:sdt>
    <w:p w:rsidR="002D22C2" w:rsidRDefault="000672A0">
      <w:pPr>
        <w:spacing w:before="255"/>
        <w:ind w:left="238"/>
      </w:pPr>
      <w:r>
        <w:t>() national average figures</w:t>
      </w:r>
    </w:p>
    <w:p w:rsidR="002D22C2" w:rsidRDefault="002D22C2">
      <w:pPr>
        <w:pBdr>
          <w:top w:val="nil"/>
          <w:left w:val="nil"/>
          <w:bottom w:val="nil"/>
          <w:right w:val="nil"/>
          <w:between w:val="nil"/>
        </w:pBdr>
        <w:spacing w:before="255"/>
        <w:ind w:left="238"/>
      </w:pPr>
    </w:p>
    <w:p w:rsidR="002D22C2" w:rsidRDefault="000672A0">
      <w:pPr>
        <w:shd w:val="clear" w:color="auto" w:fill="FFFFFF"/>
        <w:spacing w:after="240"/>
        <w:rPr>
          <w:color w:val="1F1F1F"/>
          <w:sz w:val="24"/>
          <w:szCs w:val="24"/>
        </w:rPr>
      </w:pPr>
      <w:r>
        <w:rPr>
          <w:color w:val="1F1F1F"/>
          <w:sz w:val="24"/>
          <w:szCs w:val="24"/>
        </w:rPr>
        <w:t xml:space="preserve">The 2024-25 GCSE results demonstrate a </w:t>
      </w:r>
      <w:r>
        <w:rPr>
          <w:b/>
          <w:bCs/>
          <w:color w:val="1F1F1F"/>
          <w:sz w:val="24"/>
          <w:szCs w:val="24"/>
        </w:rPr>
        <w:t>significant positive trend</w:t>
      </w:r>
      <w:r>
        <w:rPr>
          <w:color w:val="1F1F1F"/>
          <w:sz w:val="24"/>
          <w:szCs w:val="24"/>
        </w:rPr>
        <w:t xml:space="preserve"> with a large increase in attainment for </w:t>
      </w:r>
      <w:r>
        <w:rPr>
          <w:b/>
          <w:bCs/>
          <w:color w:val="1F1F1F"/>
          <w:sz w:val="24"/>
          <w:szCs w:val="24"/>
        </w:rPr>
        <w:t>Pupil Premium (PP) pupils</w:t>
      </w:r>
      <w:r>
        <w:rPr>
          <w:color w:val="1F1F1F"/>
          <w:sz w:val="24"/>
          <w:szCs w:val="24"/>
        </w:rPr>
        <w:t xml:space="preserve"> and a substantial </w:t>
      </w:r>
      <w:r>
        <w:rPr>
          <w:b/>
          <w:bCs/>
          <w:color w:val="1F1F1F"/>
          <w:sz w:val="24"/>
          <w:szCs w:val="24"/>
        </w:rPr>
        <w:t>narrowing of the disadvantage gap</w:t>
      </w:r>
      <w:r>
        <w:rPr>
          <w:color w:val="1F1F1F"/>
          <w:sz w:val="24"/>
          <w:szCs w:val="24"/>
        </w:rPr>
        <w:t xml:space="preserve"> compared to the 2023-24 academic year.</w:t>
      </w:r>
    </w:p>
    <w:p w:rsidR="002D22C2" w:rsidRDefault="000672A0">
      <w:pPr>
        <w:shd w:val="clear" w:color="auto" w:fill="FFFFFF"/>
        <w:spacing w:after="240"/>
        <w:rPr>
          <w:color w:val="1F1F1F"/>
          <w:sz w:val="24"/>
          <w:szCs w:val="24"/>
        </w:rPr>
      </w:pPr>
      <w:r>
        <w:rPr>
          <w:color w:val="1F1F1F"/>
          <w:sz w:val="24"/>
          <w:szCs w:val="24"/>
        </w:rPr>
        <w:t>The disadvantage gap has narrowed across all three headline measures.</w:t>
      </w:r>
    </w:p>
    <w:tbl>
      <w:tblPr>
        <w:tblStyle w:val="aff"/>
        <w:tblW w:w="9725" w:type="dxa"/>
        <w:tblBorders>
          <w:top w:val="nil"/>
          <w:left w:val="nil"/>
          <w:bottom w:val="nil"/>
          <w:right w:val="nil"/>
          <w:insideH w:val="nil"/>
          <w:insideV w:val="nil"/>
        </w:tblBorders>
        <w:tblLayout w:type="fixed"/>
        <w:tblLook w:val="0600" w:firstRow="0" w:lastRow="0" w:firstColumn="0" w:lastColumn="0" w:noHBand="1" w:noVBand="1"/>
      </w:tblPr>
      <w:tblGrid>
        <w:gridCol w:w="2181"/>
        <w:gridCol w:w="2318"/>
        <w:gridCol w:w="2318"/>
        <w:gridCol w:w="2908"/>
      </w:tblGrid>
      <w:tr w:rsidR="002D22C2">
        <w:trPr>
          <w:trHeight w:val="840"/>
        </w:trPr>
        <w:tc>
          <w:tcPr>
            <w:tcW w:w="2181"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line="342" w:lineRule="auto"/>
              <w:rPr>
                <w:color w:val="1F1F1F"/>
                <w:sz w:val="24"/>
                <w:szCs w:val="24"/>
              </w:rPr>
            </w:pPr>
            <w:r>
              <w:rPr>
                <w:color w:val="1F1F1F"/>
                <w:sz w:val="21"/>
                <w:szCs w:val="21"/>
              </w:rPr>
              <w:t>Measure</w:t>
            </w:r>
          </w:p>
        </w:tc>
        <w:tc>
          <w:tcPr>
            <w:tcW w:w="231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line="342" w:lineRule="auto"/>
              <w:rPr>
                <w:color w:val="1F1F1F"/>
                <w:sz w:val="24"/>
                <w:szCs w:val="24"/>
              </w:rPr>
            </w:pPr>
            <w:r>
              <w:rPr>
                <w:color w:val="1F1F1F"/>
                <w:sz w:val="21"/>
                <w:szCs w:val="21"/>
              </w:rPr>
              <w:t>2023-24 Gap (Non PP - PP)</w:t>
            </w:r>
          </w:p>
        </w:tc>
        <w:tc>
          <w:tcPr>
            <w:tcW w:w="231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line="342" w:lineRule="auto"/>
              <w:rPr>
                <w:color w:val="1F1F1F"/>
                <w:sz w:val="24"/>
                <w:szCs w:val="24"/>
              </w:rPr>
            </w:pPr>
            <w:r>
              <w:rPr>
                <w:color w:val="1F1F1F"/>
                <w:sz w:val="21"/>
                <w:szCs w:val="21"/>
              </w:rPr>
              <w:t>2024-25 Gap (Non PP - PP)</w:t>
            </w:r>
          </w:p>
        </w:tc>
        <w:tc>
          <w:tcPr>
            <w:tcW w:w="290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line="342" w:lineRule="auto"/>
              <w:rPr>
                <w:color w:val="1F1F1F"/>
                <w:sz w:val="24"/>
                <w:szCs w:val="24"/>
              </w:rPr>
            </w:pPr>
            <w:r>
              <w:rPr>
                <w:color w:val="1F1F1F"/>
                <w:sz w:val="21"/>
                <w:szCs w:val="21"/>
              </w:rPr>
              <w:t>Change in Gap</w:t>
            </w:r>
          </w:p>
        </w:tc>
      </w:tr>
      <w:tr w:rsidR="002D22C2">
        <w:trPr>
          <w:trHeight w:val="1080"/>
        </w:trPr>
        <w:tc>
          <w:tcPr>
            <w:tcW w:w="2181"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line="342" w:lineRule="auto"/>
              <w:rPr>
                <w:color w:val="1F1F1F"/>
                <w:sz w:val="24"/>
                <w:szCs w:val="24"/>
              </w:rPr>
            </w:pPr>
            <w:r>
              <w:rPr>
                <w:b/>
                <w:bCs/>
                <w:color w:val="1F1F1F"/>
                <w:sz w:val="21"/>
                <w:szCs w:val="21"/>
              </w:rPr>
              <w:t>Attainment 8 (A8) Score</w:t>
            </w:r>
          </w:p>
        </w:tc>
        <w:tc>
          <w:tcPr>
            <w:tcW w:w="231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after="240" w:line="342" w:lineRule="auto"/>
              <w:rPr>
                <w:color w:val="1F1F1F"/>
                <w:sz w:val="21"/>
                <w:szCs w:val="21"/>
              </w:rPr>
            </w:pPr>
            <w:r>
              <w:rPr>
                <w:color w:val="1F1F1F"/>
                <w:sz w:val="21"/>
                <w:szCs w:val="21"/>
              </w:rPr>
              <w:t xml:space="preserve">15.48 points </w:t>
            </w:r>
          </w:p>
        </w:tc>
        <w:tc>
          <w:tcPr>
            <w:tcW w:w="231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after="240" w:line="342" w:lineRule="auto"/>
              <w:rPr>
                <w:color w:val="1F1F1F"/>
                <w:sz w:val="21"/>
                <w:szCs w:val="21"/>
              </w:rPr>
            </w:pPr>
            <w:r>
              <w:rPr>
                <w:color w:val="1F1F1F"/>
                <w:sz w:val="21"/>
                <w:szCs w:val="21"/>
              </w:rPr>
              <w:t xml:space="preserve">12.67 points </w:t>
            </w:r>
          </w:p>
        </w:tc>
        <w:tc>
          <w:tcPr>
            <w:tcW w:w="290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line="342" w:lineRule="auto"/>
              <w:rPr>
                <w:color w:val="1F1F1F"/>
                <w:sz w:val="24"/>
                <w:szCs w:val="24"/>
              </w:rPr>
            </w:pPr>
            <w:r>
              <w:rPr>
                <w:b/>
                <w:bCs/>
                <w:color w:val="1F1F1F"/>
                <w:sz w:val="21"/>
                <w:szCs w:val="21"/>
              </w:rPr>
              <w:t>Narrowed by 2.81 points</w:t>
            </w:r>
          </w:p>
        </w:tc>
      </w:tr>
      <w:tr w:rsidR="002D22C2">
        <w:trPr>
          <w:trHeight w:val="1380"/>
        </w:trPr>
        <w:tc>
          <w:tcPr>
            <w:tcW w:w="2181"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line="342" w:lineRule="auto"/>
              <w:rPr>
                <w:color w:val="1F1F1F"/>
                <w:sz w:val="24"/>
                <w:szCs w:val="24"/>
              </w:rPr>
            </w:pPr>
            <w:r>
              <w:rPr>
                <w:b/>
                <w:bCs/>
                <w:color w:val="1F1F1F"/>
                <w:sz w:val="21"/>
                <w:szCs w:val="21"/>
              </w:rPr>
              <w:t>% M&amp;E Grade 5+</w:t>
            </w:r>
          </w:p>
        </w:tc>
        <w:tc>
          <w:tcPr>
            <w:tcW w:w="231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after="240" w:line="342" w:lineRule="auto"/>
              <w:rPr>
                <w:color w:val="1F1F1F"/>
                <w:sz w:val="21"/>
                <w:szCs w:val="21"/>
              </w:rPr>
            </w:pPr>
            <w:r>
              <w:rPr>
                <w:color w:val="1F1F1F"/>
                <w:sz w:val="21"/>
                <w:szCs w:val="21"/>
              </w:rPr>
              <w:t xml:space="preserve">27.3 percentage points </w:t>
            </w:r>
          </w:p>
        </w:tc>
        <w:tc>
          <w:tcPr>
            <w:tcW w:w="231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after="240" w:line="342" w:lineRule="auto"/>
              <w:rPr>
                <w:color w:val="1F1F1F"/>
                <w:sz w:val="21"/>
                <w:szCs w:val="21"/>
              </w:rPr>
            </w:pPr>
            <w:r>
              <w:rPr>
                <w:color w:val="1F1F1F"/>
                <w:sz w:val="21"/>
                <w:szCs w:val="21"/>
              </w:rPr>
              <w:t xml:space="preserve">21.8 percentage points </w:t>
            </w:r>
          </w:p>
        </w:tc>
        <w:tc>
          <w:tcPr>
            <w:tcW w:w="290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line="342" w:lineRule="auto"/>
              <w:rPr>
                <w:color w:val="1F1F1F"/>
                <w:sz w:val="24"/>
                <w:szCs w:val="24"/>
              </w:rPr>
            </w:pPr>
            <w:r>
              <w:rPr>
                <w:b/>
                <w:bCs/>
                <w:color w:val="1F1F1F"/>
                <w:sz w:val="21"/>
                <w:szCs w:val="21"/>
              </w:rPr>
              <w:t>Narrowed by 5.5 percentage points</w:t>
            </w:r>
          </w:p>
        </w:tc>
      </w:tr>
      <w:tr w:rsidR="002D22C2">
        <w:trPr>
          <w:trHeight w:val="1080"/>
        </w:trPr>
        <w:tc>
          <w:tcPr>
            <w:tcW w:w="2181"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line="342" w:lineRule="auto"/>
              <w:rPr>
                <w:color w:val="1F1F1F"/>
                <w:sz w:val="24"/>
                <w:szCs w:val="24"/>
              </w:rPr>
            </w:pPr>
            <w:r>
              <w:rPr>
                <w:b/>
                <w:bCs/>
                <w:color w:val="1F1F1F"/>
                <w:sz w:val="21"/>
                <w:szCs w:val="21"/>
              </w:rPr>
              <w:t>% M&amp;E Grade 4+</w:t>
            </w:r>
          </w:p>
        </w:tc>
        <w:tc>
          <w:tcPr>
            <w:tcW w:w="231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after="240" w:line="342" w:lineRule="auto"/>
              <w:rPr>
                <w:color w:val="1F1F1F"/>
                <w:sz w:val="21"/>
                <w:szCs w:val="21"/>
              </w:rPr>
            </w:pPr>
            <w:r>
              <w:rPr>
                <w:color w:val="1F1F1F"/>
                <w:sz w:val="21"/>
                <w:szCs w:val="21"/>
              </w:rPr>
              <w:t xml:space="preserve">39 percentage points </w:t>
            </w:r>
          </w:p>
        </w:tc>
        <w:tc>
          <w:tcPr>
            <w:tcW w:w="231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after="240" w:line="342" w:lineRule="auto"/>
              <w:rPr>
                <w:color w:val="1F1F1F"/>
                <w:sz w:val="21"/>
                <w:szCs w:val="21"/>
              </w:rPr>
            </w:pPr>
            <w:r>
              <w:rPr>
                <w:color w:val="1F1F1F"/>
                <w:sz w:val="21"/>
                <w:szCs w:val="21"/>
              </w:rPr>
              <w:t xml:space="preserve">29 percentage points </w:t>
            </w:r>
          </w:p>
        </w:tc>
        <w:tc>
          <w:tcPr>
            <w:tcW w:w="2908" w:type="dxa"/>
            <w:tcBorders>
              <w:top w:val="nil"/>
              <w:left w:val="nil"/>
              <w:bottom w:val="nil"/>
              <w:right w:val="nil"/>
            </w:tcBorders>
            <w:shd w:val="clear" w:color="auto" w:fill="F8FAFD"/>
            <w:tcMar>
              <w:top w:w="120" w:type="dxa"/>
              <w:left w:w="180" w:type="dxa"/>
              <w:bottom w:w="120" w:type="dxa"/>
              <w:right w:w="180" w:type="dxa"/>
            </w:tcMar>
          </w:tcPr>
          <w:p w:rsidR="002D22C2" w:rsidRDefault="000672A0">
            <w:pPr>
              <w:spacing w:line="342" w:lineRule="auto"/>
              <w:rPr>
                <w:color w:val="1F1F1F"/>
                <w:sz w:val="24"/>
                <w:szCs w:val="24"/>
              </w:rPr>
            </w:pPr>
            <w:r>
              <w:rPr>
                <w:b/>
                <w:bCs/>
                <w:color w:val="1F1F1F"/>
                <w:sz w:val="21"/>
                <w:szCs w:val="21"/>
              </w:rPr>
              <w:t>Narrowed by 10 percentage points</w:t>
            </w:r>
          </w:p>
        </w:tc>
      </w:tr>
    </w:tbl>
    <w:p w:rsidR="002D22C2" w:rsidRDefault="000672A0">
      <w:pPr>
        <w:shd w:val="clear" w:color="auto" w:fill="FFFFFF"/>
        <w:spacing w:after="240"/>
        <w:rPr>
          <w:color w:val="1F1F1F"/>
          <w:sz w:val="24"/>
          <w:szCs w:val="24"/>
        </w:rPr>
      </w:pPr>
      <w:r>
        <w:rPr>
          <w:color w:val="1F1F1F"/>
          <w:sz w:val="24"/>
          <w:szCs w:val="24"/>
        </w:rPr>
        <w:lastRenderedPageBreak/>
        <w:t xml:space="preserve">The most dramatic improvement is seen in the percentage of pupils achieving a standard pass in English and </w:t>
      </w:r>
      <w:proofErr w:type="spellStart"/>
      <w:r>
        <w:rPr>
          <w:color w:val="1F1F1F"/>
          <w:sz w:val="24"/>
          <w:szCs w:val="24"/>
        </w:rPr>
        <w:t>Maths</w:t>
      </w:r>
      <w:proofErr w:type="spellEnd"/>
      <w:r>
        <w:rPr>
          <w:color w:val="1F1F1F"/>
          <w:sz w:val="24"/>
          <w:szCs w:val="24"/>
        </w:rPr>
        <w:t xml:space="preserve"> (M&amp;E 4+), where the gap has narrowed by 10 percentage points.</w:t>
      </w:r>
    </w:p>
    <w:p w:rsidR="002D22C2" w:rsidRDefault="000672A0">
      <w:pPr>
        <w:shd w:val="clear" w:color="auto" w:fill="FFFFFF"/>
        <w:spacing w:after="240"/>
        <w:rPr>
          <w:color w:val="1F1F1F"/>
          <w:sz w:val="24"/>
          <w:szCs w:val="24"/>
        </w:rPr>
      </w:pPr>
      <w:r>
        <w:rPr>
          <w:color w:val="1F1F1F"/>
          <w:sz w:val="24"/>
          <w:szCs w:val="24"/>
        </w:rPr>
        <w:t>The narrowing of the gap is primarily driven by a considerable increase in the at</w:t>
      </w:r>
      <w:r>
        <w:rPr>
          <w:color w:val="1F1F1F"/>
          <w:sz w:val="24"/>
          <w:szCs w:val="24"/>
        </w:rPr>
        <w:t>tainment of Pupil Premium pupils.</w:t>
      </w:r>
    </w:p>
    <w:p w:rsidR="002D22C2" w:rsidRDefault="000672A0">
      <w:pPr>
        <w:pStyle w:val="Heading4"/>
        <w:shd w:val="clear" w:color="auto" w:fill="FFFFFF"/>
        <w:spacing w:before="420" w:after="120" w:line="360" w:lineRule="auto"/>
        <w:ind w:left="0"/>
        <w:rPr>
          <w:b/>
          <w:bCs/>
          <w:color w:val="1F1F1F"/>
        </w:rPr>
      </w:pPr>
      <w:bookmarkStart w:id="11" w:name="_heading=h.st2at8jd2qqa" w:colFirst="0" w:colLast="0"/>
      <w:bookmarkEnd w:id="11"/>
      <w:r>
        <w:rPr>
          <w:b/>
          <w:bCs/>
          <w:color w:val="1F1F1F"/>
        </w:rPr>
        <w:t>Pupil Premium (PP) Attainment</w:t>
      </w:r>
    </w:p>
    <w:p w:rsidR="002D22C2" w:rsidRDefault="000672A0">
      <w:pPr>
        <w:numPr>
          <w:ilvl w:val="0"/>
          <w:numId w:val="5"/>
        </w:numPr>
        <w:spacing w:before="240"/>
      </w:pPr>
      <w:r>
        <w:rPr>
          <w:b/>
          <w:bCs/>
          <w:color w:val="1F1F1F"/>
          <w:sz w:val="24"/>
          <w:szCs w:val="24"/>
        </w:rPr>
        <w:t>Attainment 8 (A8):</w:t>
      </w:r>
      <w:r>
        <w:rPr>
          <w:color w:val="1F1F1F"/>
          <w:sz w:val="24"/>
          <w:szCs w:val="24"/>
        </w:rPr>
        <w:t xml:space="preserve"> PP pupils' average score increased by </w:t>
      </w:r>
      <w:r>
        <w:rPr>
          <w:b/>
          <w:bCs/>
          <w:color w:val="1F1F1F"/>
          <w:sz w:val="24"/>
          <w:szCs w:val="24"/>
        </w:rPr>
        <w:t>9.25 points</w:t>
      </w:r>
      <w:r>
        <w:rPr>
          <w:color w:val="1F1F1F"/>
          <w:sz w:val="24"/>
          <w:szCs w:val="24"/>
        </w:rPr>
        <w:t xml:space="preserve"> (from 33.05 to 42.3). This indicates a major rise in the average grade across their 8 subjects.</w:t>
      </w:r>
    </w:p>
    <w:p w:rsidR="002D22C2" w:rsidRDefault="000672A0">
      <w:pPr>
        <w:numPr>
          <w:ilvl w:val="0"/>
          <w:numId w:val="5"/>
        </w:numPr>
      </w:pPr>
      <w:r>
        <w:rPr>
          <w:b/>
          <w:bCs/>
          <w:color w:val="1F1F1F"/>
          <w:sz w:val="24"/>
          <w:szCs w:val="24"/>
        </w:rPr>
        <w:t>% M&amp;E Grade 5+:</w:t>
      </w:r>
      <w:r>
        <w:rPr>
          <w:color w:val="1F1F1F"/>
          <w:sz w:val="24"/>
          <w:szCs w:val="24"/>
        </w:rPr>
        <w:t xml:space="preserve"> Attainment </w:t>
      </w:r>
      <w:r>
        <w:rPr>
          <w:color w:val="1F1F1F"/>
          <w:sz w:val="24"/>
          <w:szCs w:val="24"/>
        </w:rPr>
        <w:t xml:space="preserve">increased by </w:t>
      </w:r>
      <w:r>
        <w:rPr>
          <w:b/>
          <w:bCs/>
          <w:color w:val="1F1F1F"/>
          <w:sz w:val="24"/>
          <w:szCs w:val="24"/>
        </w:rPr>
        <w:t>5.2 percentage points</w:t>
      </w:r>
      <w:r>
        <w:rPr>
          <w:color w:val="1F1F1F"/>
          <w:sz w:val="24"/>
          <w:szCs w:val="24"/>
        </w:rPr>
        <w:t xml:space="preserve"> (from 25.8% to 31%).</w:t>
      </w:r>
    </w:p>
    <w:p w:rsidR="002D22C2" w:rsidRDefault="000672A0">
      <w:pPr>
        <w:numPr>
          <w:ilvl w:val="0"/>
          <w:numId w:val="5"/>
        </w:numPr>
        <w:spacing w:after="360"/>
      </w:pPr>
      <w:r>
        <w:rPr>
          <w:b/>
          <w:bCs/>
          <w:color w:val="1F1F1F"/>
          <w:sz w:val="24"/>
          <w:szCs w:val="24"/>
        </w:rPr>
        <w:t>% M&amp;E Grade 4+:</w:t>
      </w:r>
      <w:r>
        <w:rPr>
          <w:color w:val="1F1F1F"/>
          <w:sz w:val="24"/>
          <w:szCs w:val="24"/>
        </w:rPr>
        <w:t xml:space="preserve"> Attainment increased by </w:t>
      </w:r>
      <w:r>
        <w:rPr>
          <w:b/>
          <w:bCs/>
          <w:color w:val="1F1F1F"/>
          <w:sz w:val="24"/>
          <w:szCs w:val="24"/>
        </w:rPr>
        <w:t>9 percentage points</w:t>
      </w:r>
      <w:r>
        <w:rPr>
          <w:color w:val="1F1F1F"/>
          <w:sz w:val="24"/>
          <w:szCs w:val="24"/>
        </w:rPr>
        <w:t xml:space="preserve"> (from 35% to 44%).</w:t>
      </w:r>
    </w:p>
    <w:p w:rsidR="002D22C2" w:rsidRDefault="000672A0">
      <w:pPr>
        <w:pStyle w:val="Heading4"/>
        <w:shd w:val="clear" w:color="auto" w:fill="FFFFFF"/>
        <w:spacing w:before="420" w:after="120" w:line="360" w:lineRule="auto"/>
        <w:ind w:left="0"/>
        <w:rPr>
          <w:b/>
          <w:bCs/>
          <w:color w:val="1F1F1F"/>
        </w:rPr>
      </w:pPr>
      <w:bookmarkStart w:id="12" w:name="_heading=h.gniv56tu4s4" w:colFirst="0" w:colLast="0"/>
      <w:bookmarkEnd w:id="12"/>
      <w:r>
        <w:rPr>
          <w:b/>
          <w:bCs/>
          <w:color w:val="1F1F1F"/>
        </w:rPr>
        <w:t>Non-Pupil Premium (Non PP) Attainment</w:t>
      </w:r>
    </w:p>
    <w:p w:rsidR="002D22C2" w:rsidRDefault="000672A0">
      <w:pPr>
        <w:numPr>
          <w:ilvl w:val="0"/>
          <w:numId w:val="3"/>
        </w:numPr>
        <w:spacing w:before="240"/>
      </w:pPr>
      <w:r>
        <w:rPr>
          <w:b/>
          <w:bCs/>
          <w:color w:val="1F1F1F"/>
          <w:sz w:val="24"/>
          <w:szCs w:val="24"/>
        </w:rPr>
        <w:t>Attainment 8 (A8):</w:t>
      </w:r>
      <w:r>
        <w:rPr>
          <w:color w:val="1F1F1F"/>
          <w:sz w:val="24"/>
          <w:szCs w:val="24"/>
        </w:rPr>
        <w:t xml:space="preserve"> Non PP pupils' average score also increased, but less sharply than their PP peers, rising by </w:t>
      </w:r>
      <w:r>
        <w:rPr>
          <w:b/>
          <w:bCs/>
          <w:color w:val="1F1F1F"/>
          <w:sz w:val="24"/>
          <w:szCs w:val="24"/>
        </w:rPr>
        <w:t>6.44 points</w:t>
      </w:r>
      <w:r>
        <w:rPr>
          <w:color w:val="1F1F1F"/>
          <w:sz w:val="24"/>
          <w:szCs w:val="24"/>
        </w:rPr>
        <w:t xml:space="preserve"> (from 48.53 to 54.97).</w:t>
      </w:r>
    </w:p>
    <w:p w:rsidR="002D22C2" w:rsidRDefault="000672A0">
      <w:pPr>
        <w:numPr>
          <w:ilvl w:val="0"/>
          <w:numId w:val="3"/>
        </w:numPr>
      </w:pPr>
      <w:r>
        <w:rPr>
          <w:b/>
          <w:bCs/>
          <w:color w:val="1F1F1F"/>
          <w:sz w:val="24"/>
          <w:szCs w:val="24"/>
        </w:rPr>
        <w:t>% M&amp;E Grade 5+:</w:t>
      </w:r>
      <w:r>
        <w:rPr>
          <w:color w:val="1F1F1F"/>
          <w:sz w:val="24"/>
          <w:szCs w:val="24"/>
        </w:rPr>
        <w:t xml:space="preserve"> Attainment showed a slight decrease of </w:t>
      </w:r>
      <w:r>
        <w:rPr>
          <w:b/>
          <w:bCs/>
          <w:color w:val="1F1F1F"/>
          <w:sz w:val="24"/>
          <w:szCs w:val="24"/>
        </w:rPr>
        <w:t>0.3 percentage points</w:t>
      </w:r>
      <w:r>
        <w:rPr>
          <w:color w:val="1F1F1F"/>
          <w:sz w:val="24"/>
          <w:szCs w:val="24"/>
        </w:rPr>
        <w:t xml:space="preserve"> (from 53.1% to 52.8%).</w:t>
      </w:r>
    </w:p>
    <w:p w:rsidR="002D22C2" w:rsidRDefault="000672A0">
      <w:pPr>
        <w:numPr>
          <w:ilvl w:val="0"/>
          <w:numId w:val="3"/>
        </w:numPr>
        <w:spacing w:after="360"/>
      </w:pPr>
      <w:r>
        <w:rPr>
          <w:b/>
          <w:bCs/>
          <w:color w:val="1F1F1F"/>
          <w:sz w:val="24"/>
          <w:szCs w:val="24"/>
        </w:rPr>
        <w:t>% M&amp;E Grade 4+:</w:t>
      </w:r>
      <w:r>
        <w:rPr>
          <w:color w:val="1F1F1F"/>
          <w:sz w:val="24"/>
          <w:szCs w:val="24"/>
        </w:rPr>
        <w:t xml:space="preserve"> Attainment also showed a slight decrease of </w:t>
      </w:r>
      <w:r>
        <w:rPr>
          <w:b/>
          <w:bCs/>
          <w:color w:val="1F1F1F"/>
          <w:sz w:val="24"/>
          <w:szCs w:val="24"/>
        </w:rPr>
        <w:t>1 percentage point</w:t>
      </w:r>
      <w:r>
        <w:rPr>
          <w:color w:val="1F1F1F"/>
          <w:sz w:val="24"/>
          <w:szCs w:val="24"/>
        </w:rPr>
        <w:t xml:space="preserve"> (from 74% to 73%).</w:t>
      </w:r>
    </w:p>
    <w:p w:rsidR="002D22C2" w:rsidRDefault="000672A0">
      <w:pPr>
        <w:shd w:val="clear" w:color="auto" w:fill="FFFFFF"/>
        <w:spacing w:after="120"/>
        <w:rPr>
          <w:color w:val="1F1F1F"/>
          <w:sz w:val="24"/>
          <w:szCs w:val="24"/>
        </w:rPr>
      </w:pPr>
      <w:r>
        <w:rPr>
          <w:color w:val="1F1F1F"/>
          <w:sz w:val="24"/>
          <w:szCs w:val="24"/>
        </w:rPr>
        <w:t>The 2024-25 GCSE results, are extremely positive for the agenda of social mobility. The data suggests a targeted and highly effective effort to boost the outcomes of disadva</w:t>
      </w:r>
      <w:r>
        <w:rPr>
          <w:color w:val="1F1F1F"/>
          <w:sz w:val="24"/>
          <w:szCs w:val="24"/>
        </w:rPr>
        <w:t>ntaged pupils.</w:t>
      </w:r>
    </w:p>
    <w:p w:rsidR="002D22C2" w:rsidRDefault="000672A0">
      <w:pPr>
        <w:numPr>
          <w:ilvl w:val="0"/>
          <w:numId w:val="2"/>
        </w:numPr>
        <w:spacing w:before="240"/>
      </w:pPr>
      <w:r>
        <w:rPr>
          <w:b/>
          <w:bCs/>
          <w:color w:val="1F1F1F"/>
          <w:sz w:val="24"/>
          <w:szCs w:val="24"/>
        </w:rPr>
        <w:t>Strong PP Performance:</w:t>
      </w:r>
      <w:r>
        <w:rPr>
          <w:color w:val="1F1F1F"/>
          <w:sz w:val="24"/>
          <w:szCs w:val="24"/>
        </w:rPr>
        <w:t xml:space="preserve"> PP pupils made very substantial gains across all key measures (A8, M&amp;E 5+, and M&amp;E 4+).</w:t>
      </w:r>
    </w:p>
    <w:p w:rsidR="002D22C2" w:rsidRDefault="000672A0">
      <w:pPr>
        <w:numPr>
          <w:ilvl w:val="0"/>
          <w:numId w:val="2"/>
        </w:numPr>
      </w:pPr>
      <w:r>
        <w:rPr>
          <w:b/>
          <w:bCs/>
          <w:color w:val="1F1F1F"/>
          <w:sz w:val="24"/>
          <w:szCs w:val="24"/>
        </w:rPr>
        <w:t>Gap Closure:</w:t>
      </w:r>
      <w:r>
        <w:rPr>
          <w:color w:val="1F1F1F"/>
          <w:sz w:val="24"/>
          <w:szCs w:val="24"/>
        </w:rPr>
        <w:t xml:space="preserve"> The significant attainment growth for PP pupils, combined with a stable or slightly declining attainment for Non-PP p</w:t>
      </w:r>
      <w:r>
        <w:rPr>
          <w:color w:val="1F1F1F"/>
          <w:sz w:val="24"/>
          <w:szCs w:val="24"/>
        </w:rPr>
        <w:t xml:space="preserve">upils in the English and </w:t>
      </w:r>
      <w:proofErr w:type="spellStart"/>
      <w:r>
        <w:rPr>
          <w:color w:val="1F1F1F"/>
          <w:sz w:val="24"/>
          <w:szCs w:val="24"/>
        </w:rPr>
        <w:t>Maths</w:t>
      </w:r>
      <w:proofErr w:type="spellEnd"/>
      <w:r>
        <w:rPr>
          <w:color w:val="1F1F1F"/>
          <w:sz w:val="24"/>
          <w:szCs w:val="24"/>
        </w:rPr>
        <w:t xml:space="preserve"> measures, has resulted in a marked reduction in the disadvantage gap.</w:t>
      </w:r>
    </w:p>
    <w:p w:rsidR="002D22C2" w:rsidRDefault="000672A0">
      <w:pPr>
        <w:numPr>
          <w:ilvl w:val="0"/>
          <w:numId w:val="2"/>
        </w:numPr>
        <w:spacing w:after="360"/>
      </w:pPr>
      <w:r>
        <w:rPr>
          <w:b/>
          <w:bCs/>
          <w:color w:val="1F1F1F"/>
          <w:sz w:val="24"/>
          <w:szCs w:val="24"/>
        </w:rPr>
        <w:t>Key Measures:</w:t>
      </w:r>
      <w:r>
        <w:rPr>
          <w:color w:val="1F1F1F"/>
          <w:sz w:val="24"/>
          <w:szCs w:val="24"/>
        </w:rPr>
        <w:t xml:space="preserve"> The 10 percentage point narrowing of the M&amp;E Grade 4+ gap and the 5.5 percentage point narrowing of the M&amp;E Grade 5+ gap are particularly not</w:t>
      </w:r>
      <w:r>
        <w:rPr>
          <w:color w:val="1F1F1F"/>
          <w:sz w:val="24"/>
          <w:szCs w:val="24"/>
        </w:rPr>
        <w:t>eworthy as these qualifications are essential benchmarks for post-16 education and employment.</w:t>
      </w:r>
    </w:p>
    <w:p w:rsidR="002D22C2" w:rsidRDefault="002D22C2">
      <w:pPr>
        <w:pBdr>
          <w:top w:val="nil"/>
          <w:left w:val="nil"/>
          <w:bottom w:val="nil"/>
          <w:right w:val="nil"/>
          <w:between w:val="nil"/>
        </w:pBdr>
      </w:pPr>
    </w:p>
    <w:p w:rsidR="002D22C2" w:rsidRDefault="002D22C2">
      <w:pPr>
        <w:pBdr>
          <w:top w:val="nil"/>
          <w:left w:val="nil"/>
          <w:bottom w:val="nil"/>
          <w:right w:val="nil"/>
          <w:between w:val="nil"/>
        </w:pBdr>
        <w:rPr>
          <w:color w:val="FF0000"/>
        </w:rPr>
      </w:pPr>
    </w:p>
    <w:p w:rsidR="002D22C2" w:rsidRDefault="000672A0">
      <w:pPr>
        <w:pBdr>
          <w:top w:val="nil"/>
          <w:left w:val="nil"/>
          <w:bottom w:val="nil"/>
          <w:right w:val="nil"/>
          <w:between w:val="nil"/>
        </w:pBdr>
        <w:ind w:left="238"/>
      </w:pPr>
      <w:r>
        <w:t>Total attendance for the academic year was as follows:</w:t>
      </w:r>
    </w:p>
    <w:p w:rsidR="002D22C2" w:rsidRDefault="002D22C2">
      <w:pPr>
        <w:pBdr>
          <w:top w:val="nil"/>
          <w:left w:val="nil"/>
          <w:bottom w:val="nil"/>
          <w:right w:val="nil"/>
          <w:between w:val="nil"/>
        </w:pBdr>
        <w:spacing w:before="5"/>
        <w:rPr>
          <w:sz w:val="20"/>
          <w:szCs w:val="20"/>
        </w:rPr>
      </w:pPr>
    </w:p>
    <w:tbl>
      <w:tblPr>
        <w:tblStyle w:val="aff0"/>
        <w:tblW w:w="9300" w:type="dxa"/>
        <w:tblInd w:w="2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340"/>
        <w:gridCol w:w="2320"/>
        <w:gridCol w:w="2320"/>
        <w:gridCol w:w="2320"/>
      </w:tblGrid>
      <w:tr w:rsidR="002D22C2">
        <w:trPr>
          <w:trHeight w:val="460"/>
        </w:trPr>
        <w:tc>
          <w:tcPr>
            <w:tcW w:w="2340" w:type="dxa"/>
          </w:tcPr>
          <w:p w:rsidR="002D22C2" w:rsidRDefault="002D22C2">
            <w:pPr>
              <w:pBdr>
                <w:top w:val="nil"/>
                <w:left w:val="nil"/>
                <w:bottom w:val="nil"/>
                <w:right w:val="nil"/>
                <w:between w:val="nil"/>
              </w:pBdr>
              <w:rPr>
                <w:rFonts w:ascii="Times New Roman" w:eastAsia="Times New Roman" w:hAnsi="Times New Roman" w:cs="Times New Roman"/>
              </w:rPr>
            </w:pPr>
          </w:p>
        </w:tc>
        <w:tc>
          <w:tcPr>
            <w:tcW w:w="2320" w:type="dxa"/>
          </w:tcPr>
          <w:p w:rsidR="002D22C2" w:rsidRDefault="000672A0">
            <w:pPr>
              <w:pBdr>
                <w:top w:val="nil"/>
                <w:left w:val="nil"/>
                <w:bottom w:val="nil"/>
                <w:right w:val="nil"/>
                <w:between w:val="nil"/>
              </w:pBdr>
              <w:spacing w:before="118"/>
              <w:ind w:left="33" w:right="20"/>
              <w:jc w:val="center"/>
            </w:pPr>
            <w:r>
              <w:t>PP</w:t>
            </w:r>
          </w:p>
        </w:tc>
        <w:tc>
          <w:tcPr>
            <w:tcW w:w="2320" w:type="dxa"/>
          </w:tcPr>
          <w:p w:rsidR="002D22C2" w:rsidRDefault="000672A0">
            <w:pPr>
              <w:pBdr>
                <w:top w:val="nil"/>
                <w:left w:val="nil"/>
                <w:bottom w:val="nil"/>
                <w:right w:val="nil"/>
                <w:between w:val="nil"/>
              </w:pBdr>
              <w:spacing w:before="118"/>
              <w:ind w:left="33" w:right="10"/>
              <w:jc w:val="center"/>
            </w:pPr>
            <w:r>
              <w:t>Non-PP</w:t>
            </w:r>
          </w:p>
        </w:tc>
        <w:tc>
          <w:tcPr>
            <w:tcW w:w="2320" w:type="dxa"/>
          </w:tcPr>
          <w:p w:rsidR="002D22C2" w:rsidRDefault="000672A0">
            <w:pPr>
              <w:pBdr>
                <w:top w:val="nil"/>
                <w:left w:val="nil"/>
                <w:bottom w:val="nil"/>
                <w:right w:val="nil"/>
                <w:between w:val="nil"/>
              </w:pBdr>
              <w:spacing w:before="118"/>
              <w:ind w:left="33"/>
              <w:jc w:val="center"/>
            </w:pPr>
            <w:r>
              <w:t>Difference</w:t>
            </w:r>
          </w:p>
        </w:tc>
      </w:tr>
      <w:tr w:rsidR="002D22C2">
        <w:trPr>
          <w:trHeight w:val="460"/>
        </w:trPr>
        <w:tc>
          <w:tcPr>
            <w:tcW w:w="2340" w:type="dxa"/>
          </w:tcPr>
          <w:p w:rsidR="002D22C2" w:rsidRDefault="000672A0">
            <w:pPr>
              <w:pBdr>
                <w:top w:val="nil"/>
                <w:left w:val="nil"/>
                <w:bottom w:val="nil"/>
                <w:right w:val="nil"/>
                <w:between w:val="nil"/>
              </w:pBdr>
              <w:spacing w:before="116"/>
              <w:ind w:left="615"/>
            </w:pPr>
            <w:r>
              <w:t>Attendance</w:t>
            </w:r>
          </w:p>
        </w:tc>
        <w:tc>
          <w:tcPr>
            <w:tcW w:w="2320" w:type="dxa"/>
          </w:tcPr>
          <w:p w:rsidR="002D22C2" w:rsidRDefault="000672A0">
            <w:pPr>
              <w:pBdr>
                <w:top w:val="nil"/>
                <w:left w:val="nil"/>
                <w:bottom w:val="nil"/>
                <w:right w:val="nil"/>
                <w:between w:val="nil"/>
              </w:pBdr>
              <w:spacing w:before="116"/>
              <w:ind w:left="33" w:right="20"/>
              <w:jc w:val="center"/>
            </w:pPr>
            <w:r>
              <w:t>90.44%</w:t>
            </w:r>
          </w:p>
        </w:tc>
        <w:tc>
          <w:tcPr>
            <w:tcW w:w="2320" w:type="dxa"/>
          </w:tcPr>
          <w:p w:rsidR="002D22C2" w:rsidRDefault="000672A0">
            <w:pPr>
              <w:pBdr>
                <w:top w:val="nil"/>
                <w:left w:val="nil"/>
                <w:bottom w:val="nil"/>
                <w:right w:val="nil"/>
                <w:between w:val="nil"/>
              </w:pBdr>
              <w:spacing w:before="116"/>
              <w:ind w:left="33" w:right="10"/>
              <w:jc w:val="center"/>
            </w:pPr>
            <w:r>
              <w:t>93.85%</w:t>
            </w:r>
          </w:p>
        </w:tc>
        <w:tc>
          <w:tcPr>
            <w:tcW w:w="2320" w:type="dxa"/>
          </w:tcPr>
          <w:p w:rsidR="002D22C2" w:rsidRDefault="000672A0">
            <w:pPr>
              <w:pBdr>
                <w:top w:val="nil"/>
                <w:left w:val="nil"/>
                <w:bottom w:val="nil"/>
                <w:right w:val="nil"/>
                <w:between w:val="nil"/>
              </w:pBdr>
              <w:spacing w:before="116"/>
              <w:ind w:left="33"/>
              <w:jc w:val="center"/>
            </w:pPr>
            <w:r>
              <w:t>3.41%</w:t>
            </w:r>
          </w:p>
        </w:tc>
      </w:tr>
    </w:tbl>
    <w:p w:rsidR="002D22C2" w:rsidRDefault="002D22C2">
      <w:pPr>
        <w:pBdr>
          <w:top w:val="nil"/>
          <w:left w:val="nil"/>
          <w:bottom w:val="nil"/>
          <w:right w:val="nil"/>
          <w:between w:val="nil"/>
        </w:pBdr>
        <w:spacing w:before="9"/>
      </w:pPr>
    </w:p>
    <w:p w:rsidR="002D22C2" w:rsidRDefault="000672A0">
      <w:pPr>
        <w:pBdr>
          <w:top w:val="nil"/>
          <w:left w:val="nil"/>
          <w:bottom w:val="nil"/>
          <w:right w:val="nil"/>
          <w:between w:val="nil"/>
        </w:pBdr>
        <w:ind w:left="238" w:right="93"/>
        <w:jc w:val="both"/>
      </w:pPr>
      <w:r>
        <w:t>This shows that PP attendance is behind both non-PP attendance and the school target attendance of 97%. Compared to last year the PP attendance has slightly increased (0.05%). However the Non PP attendance has also increased by 0.45%, this means that the g</w:t>
      </w:r>
      <w:r>
        <w:t xml:space="preserve">ap has widened further.  Additionally, persistent absence affects PP students more than non-PP students; </w:t>
      </w:r>
      <w:r>
        <w:lastRenderedPageBreak/>
        <w:t>which supports our decisions surrounding the mental health practitioner and student support mentors for 2024/25.</w:t>
      </w:r>
    </w:p>
    <w:p w:rsidR="002D22C2" w:rsidRDefault="002D22C2">
      <w:pPr>
        <w:pBdr>
          <w:top w:val="nil"/>
          <w:left w:val="nil"/>
          <w:bottom w:val="nil"/>
          <w:right w:val="nil"/>
          <w:between w:val="nil"/>
        </w:pBdr>
        <w:spacing w:before="184"/>
        <w:jc w:val="both"/>
        <w:rPr>
          <w:color w:val="000000"/>
        </w:rPr>
      </w:pPr>
    </w:p>
    <w:p w:rsidR="002D22C2" w:rsidRDefault="000672A0">
      <w:pPr>
        <w:pBdr>
          <w:top w:val="nil"/>
          <w:left w:val="nil"/>
          <w:bottom w:val="nil"/>
          <w:right w:val="nil"/>
          <w:between w:val="nil"/>
        </w:pBdr>
        <w:ind w:left="238" w:right="358"/>
        <w:jc w:val="both"/>
        <w:rPr>
          <w:color w:val="000000"/>
        </w:rPr>
        <w:sectPr w:rsidR="002D22C2">
          <w:pgSz w:w="11920" w:h="16840"/>
          <w:pgMar w:top="1060" w:right="1180" w:bottom="960" w:left="1000" w:header="0" w:footer="772" w:gutter="0"/>
          <w:cols w:space="720"/>
        </w:sectPr>
      </w:pPr>
      <w:r>
        <w:rPr>
          <w:color w:val="0D0D0D"/>
        </w:rPr>
        <w:t xml:space="preserve">All Pupil Premium students that applied for an enrichment or educational trip attended, thanks to support from the Pupil Premium Fund, many of these going abroad for the first time. All </w:t>
      </w:r>
      <w:proofErr w:type="spellStart"/>
      <w:r>
        <w:rPr>
          <w:color w:val="0D0D0D"/>
        </w:rPr>
        <w:t>organisers</w:t>
      </w:r>
      <w:proofErr w:type="spellEnd"/>
      <w:r>
        <w:rPr>
          <w:color w:val="0D0D0D"/>
        </w:rPr>
        <w:t xml:space="preserve"> that ran the trips hit the 20% quota where possible. New tr</w:t>
      </w:r>
      <w:r>
        <w:rPr>
          <w:color w:val="0D0D0D"/>
        </w:rPr>
        <w:t>ips are running in the coming year, and the support still remains.</w:t>
      </w:r>
    </w:p>
    <w:p w:rsidR="002D22C2" w:rsidRDefault="000672A0">
      <w:pPr>
        <w:spacing w:before="162"/>
        <w:ind w:left="133"/>
        <w:rPr>
          <w:b/>
          <w:bCs/>
          <w:sz w:val="32"/>
          <w:szCs w:val="32"/>
        </w:rPr>
      </w:pPr>
      <w:r>
        <w:rPr>
          <w:b/>
          <w:bCs/>
          <w:color w:val="0F4E74"/>
          <w:sz w:val="32"/>
          <w:szCs w:val="32"/>
        </w:rPr>
        <w:lastRenderedPageBreak/>
        <w:t xml:space="preserve">Externally provided </w:t>
      </w:r>
      <w:proofErr w:type="spellStart"/>
      <w:r>
        <w:rPr>
          <w:b/>
          <w:bCs/>
          <w:color w:val="0F4E74"/>
          <w:sz w:val="32"/>
          <w:szCs w:val="32"/>
        </w:rPr>
        <w:t>programmes</w:t>
      </w:r>
      <w:proofErr w:type="spellEnd"/>
    </w:p>
    <w:p w:rsidR="002D22C2" w:rsidRDefault="002D22C2">
      <w:pPr>
        <w:pBdr>
          <w:top w:val="nil"/>
          <w:left w:val="nil"/>
          <w:bottom w:val="nil"/>
          <w:right w:val="nil"/>
          <w:between w:val="nil"/>
        </w:pBdr>
        <w:rPr>
          <w:b/>
          <w:bCs/>
          <w:color w:val="000000"/>
          <w:sz w:val="20"/>
          <w:szCs w:val="20"/>
        </w:rPr>
      </w:pPr>
    </w:p>
    <w:tbl>
      <w:tblPr>
        <w:tblStyle w:val="aff1"/>
        <w:tblW w:w="9480" w:type="dxa"/>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20"/>
        <w:gridCol w:w="4660"/>
      </w:tblGrid>
      <w:tr w:rsidR="002D22C2">
        <w:trPr>
          <w:trHeight w:val="400"/>
        </w:trPr>
        <w:tc>
          <w:tcPr>
            <w:tcW w:w="4820" w:type="dxa"/>
            <w:shd w:val="clear" w:color="auto" w:fill="D8E2E8"/>
          </w:tcPr>
          <w:p w:rsidR="002D22C2" w:rsidRDefault="000672A0">
            <w:pPr>
              <w:pBdr>
                <w:top w:val="nil"/>
                <w:left w:val="nil"/>
                <w:bottom w:val="nil"/>
                <w:right w:val="nil"/>
                <w:between w:val="nil"/>
              </w:pBdr>
              <w:spacing w:before="65"/>
              <w:ind w:left="169"/>
              <w:rPr>
                <w:b/>
                <w:bCs/>
                <w:color w:val="000000"/>
                <w:sz w:val="24"/>
                <w:szCs w:val="24"/>
              </w:rPr>
            </w:pPr>
            <w:proofErr w:type="spellStart"/>
            <w:r>
              <w:rPr>
                <w:b/>
                <w:bCs/>
                <w:color w:val="0D0D0D"/>
                <w:sz w:val="24"/>
                <w:szCs w:val="24"/>
              </w:rPr>
              <w:t>Programme</w:t>
            </w:r>
            <w:proofErr w:type="spellEnd"/>
          </w:p>
        </w:tc>
        <w:tc>
          <w:tcPr>
            <w:tcW w:w="4660" w:type="dxa"/>
            <w:shd w:val="clear" w:color="auto" w:fill="D8E2E8"/>
          </w:tcPr>
          <w:p w:rsidR="002D22C2" w:rsidRDefault="000672A0">
            <w:pPr>
              <w:pBdr>
                <w:top w:val="nil"/>
                <w:left w:val="nil"/>
                <w:bottom w:val="nil"/>
                <w:right w:val="nil"/>
                <w:between w:val="nil"/>
              </w:pBdr>
              <w:spacing w:before="65"/>
              <w:ind w:left="164"/>
              <w:rPr>
                <w:b/>
                <w:bCs/>
                <w:color w:val="000000"/>
                <w:sz w:val="24"/>
                <w:szCs w:val="24"/>
              </w:rPr>
            </w:pPr>
            <w:r>
              <w:rPr>
                <w:b/>
                <w:bCs/>
                <w:color w:val="0D0D0D"/>
                <w:sz w:val="24"/>
                <w:szCs w:val="24"/>
              </w:rPr>
              <w:t>Provider</w:t>
            </w:r>
          </w:p>
        </w:tc>
      </w:tr>
      <w:tr w:rsidR="002D22C2">
        <w:trPr>
          <w:trHeight w:val="360"/>
        </w:trPr>
        <w:tc>
          <w:tcPr>
            <w:tcW w:w="4820" w:type="dxa"/>
          </w:tcPr>
          <w:p w:rsidR="002D22C2" w:rsidRDefault="000672A0">
            <w:pPr>
              <w:pBdr>
                <w:top w:val="nil"/>
                <w:left w:val="nil"/>
                <w:bottom w:val="nil"/>
                <w:right w:val="nil"/>
                <w:between w:val="nil"/>
              </w:pBdr>
              <w:spacing w:before="56"/>
              <w:ind w:left="169"/>
              <w:rPr>
                <w:color w:val="000000"/>
              </w:rPr>
            </w:pPr>
            <w:r>
              <w:rPr>
                <w:color w:val="0D0D0D"/>
              </w:rPr>
              <w:t>N/A</w:t>
            </w:r>
          </w:p>
        </w:tc>
        <w:tc>
          <w:tcPr>
            <w:tcW w:w="4660" w:type="dxa"/>
          </w:tcPr>
          <w:p w:rsidR="002D22C2" w:rsidRDefault="000672A0">
            <w:pPr>
              <w:pBdr>
                <w:top w:val="nil"/>
                <w:left w:val="nil"/>
                <w:bottom w:val="nil"/>
                <w:right w:val="nil"/>
                <w:between w:val="nil"/>
              </w:pBdr>
              <w:spacing w:before="56"/>
              <w:ind w:left="164"/>
              <w:rPr>
                <w:color w:val="000000"/>
              </w:rPr>
            </w:pPr>
            <w:r>
              <w:rPr>
                <w:color w:val="0D0D0D"/>
              </w:rPr>
              <w:t>N/A</w:t>
            </w:r>
          </w:p>
        </w:tc>
      </w:tr>
    </w:tbl>
    <w:p w:rsidR="002D22C2" w:rsidRDefault="002D22C2">
      <w:pPr>
        <w:spacing w:before="74"/>
        <w:ind w:left="133"/>
        <w:rPr>
          <w:b/>
          <w:bCs/>
          <w:color w:val="0F4E74"/>
          <w:sz w:val="36"/>
          <w:szCs w:val="36"/>
        </w:rPr>
      </w:pPr>
    </w:p>
    <w:p w:rsidR="002D22C2" w:rsidRDefault="000672A0">
      <w:pPr>
        <w:spacing w:before="74"/>
        <w:ind w:left="133"/>
        <w:rPr>
          <w:b/>
          <w:bCs/>
          <w:sz w:val="36"/>
          <w:szCs w:val="36"/>
        </w:rPr>
      </w:pPr>
      <w:r>
        <w:rPr>
          <w:b/>
          <w:bCs/>
          <w:color w:val="0F4E74"/>
          <w:sz w:val="36"/>
          <w:szCs w:val="36"/>
        </w:rPr>
        <w:t>Further information</w:t>
      </w:r>
    </w:p>
    <w:p w:rsidR="002D22C2" w:rsidRDefault="000672A0">
      <w:pPr>
        <w:pBdr>
          <w:top w:val="nil"/>
          <w:left w:val="nil"/>
          <w:bottom w:val="nil"/>
          <w:right w:val="nil"/>
          <w:between w:val="nil"/>
        </w:pBdr>
        <w:spacing w:before="1"/>
        <w:rPr>
          <w:b/>
          <w:bCs/>
          <w:sz w:val="18"/>
          <w:szCs w:val="18"/>
        </w:rPr>
      </w:pPr>
      <w:r>
        <w:rPr>
          <w:noProof/>
          <w:lang w:val="en-GB"/>
        </w:rPr>
        <mc:AlternateContent>
          <mc:Choice Requires="wps">
            <w:drawing>
              <wp:anchor distT="0" distB="0" distL="0" distR="0" simplePos="0" relativeHeight="251658240" behindDoc="0" locked="0" layoutInCell="1" hidden="0" allowOverlap="1">
                <wp:simplePos x="0" y="0"/>
                <wp:positionH relativeFrom="column">
                  <wp:posOffset>44450</wp:posOffset>
                </wp:positionH>
                <wp:positionV relativeFrom="paragraph">
                  <wp:posOffset>120650</wp:posOffset>
                </wp:positionV>
                <wp:extent cx="6057900" cy="3721100"/>
                <wp:effectExtent l="0" t="0" r="0" b="0"/>
                <wp:wrapTopAndBottom distT="0" distB="0"/>
                <wp:docPr id="13" name="Rectangle 13"/>
                <wp:cNvGraphicFramePr/>
                <a:graphic xmlns:a="http://schemas.openxmlformats.org/drawingml/2006/main">
                  <a:graphicData uri="http://schemas.microsoft.com/office/word/2010/wordprocessingShape">
                    <wps:wsp>
                      <wps:cNvSpPr/>
                      <wps:spPr>
                        <a:xfrm>
                          <a:off x="2336100" y="1938500"/>
                          <a:ext cx="6019800" cy="3683000"/>
                        </a:xfrm>
                        <a:prstGeom prst="rect">
                          <a:avLst/>
                        </a:prstGeom>
                        <a:noFill/>
                        <a:ln w="12700" cap="flat" cmpd="sng">
                          <a:solidFill>
                            <a:srgbClr val="000000"/>
                          </a:solidFill>
                          <a:prstDash val="solid"/>
                          <a:round/>
                          <a:headEnd type="none" w="sm" len="sm"/>
                          <a:tailEnd type="none" w="sm" len="sm"/>
                        </a:ln>
                      </wps:spPr>
                      <wps:txbx>
                        <w:txbxContent>
                          <w:p w:rsidR="002D22C2" w:rsidRDefault="000672A0">
                            <w:pPr>
                              <w:spacing w:before="123" w:line="288" w:lineRule="auto"/>
                              <w:ind w:left="98" w:right="96" w:firstLine="293"/>
                              <w:textDirection w:val="btLr"/>
                            </w:pPr>
                            <w:r>
                              <w:rPr>
                                <w:color w:val="0D0D0D"/>
                                <w:sz w:val="24"/>
                              </w:rPr>
                              <w:t>Dene Magna prides itself on the fact that the procedures and methods in place to support and provide for Pupil Premium students are rigorous, consistent and effective. Over the years, strategies such as targeted intervention and focus, equipment provision,</w:t>
                            </w:r>
                            <w:r>
                              <w:rPr>
                                <w:color w:val="0D0D0D"/>
                                <w:sz w:val="24"/>
                              </w:rPr>
                              <w:t xml:space="preserve"> pastoral care and feedback to students and parents has been exceptional and is firmly embedded.</w:t>
                            </w:r>
                          </w:p>
                          <w:p w:rsidR="002D22C2" w:rsidRDefault="000672A0">
                            <w:pPr>
                              <w:spacing w:before="120" w:line="288" w:lineRule="auto"/>
                              <w:ind w:left="98" w:right="96" w:firstLine="293"/>
                              <w:textDirection w:val="btLr"/>
                            </w:pPr>
                            <w:r>
                              <w:rPr>
                                <w:color w:val="0D0D0D"/>
                                <w:sz w:val="24"/>
                              </w:rPr>
                              <w:t>We constantly look to update our strategies in line with the needs of our students, and emerging evidence, which then feeds into the yearly Pupil Premium Schoo</w:t>
                            </w:r>
                            <w:r>
                              <w:rPr>
                                <w:color w:val="0D0D0D"/>
                                <w:sz w:val="24"/>
                              </w:rPr>
                              <w:t>l Improvement Plan. For this coming year some of the new strategies are the inclusion of instrumental lesson and continued technology support following the ending of the government laptop scheme. We hope these new strategies will complement the existing on</w:t>
                            </w:r>
                            <w:r>
                              <w:rPr>
                                <w:color w:val="0D0D0D"/>
                                <w:sz w:val="24"/>
                              </w:rPr>
                              <w:t>es towards our targets set out in the intent.</w:t>
                            </w:r>
                          </w:p>
                          <w:p w:rsidR="002D22C2" w:rsidRDefault="000672A0">
                            <w:pPr>
                              <w:spacing w:before="120" w:line="288" w:lineRule="auto"/>
                              <w:ind w:left="98" w:right="400" w:firstLine="293"/>
                              <w:textDirection w:val="btLr"/>
                            </w:pPr>
                            <w:r>
                              <w:rPr>
                                <w:color w:val="0D0D0D"/>
                                <w:sz w:val="24"/>
                              </w:rPr>
                              <w:t>In addition to this, Dene Magna aims to be a champion not just of the disadvantaged students, but of improving social mobility within the community. The strategies mentioned, alongside closer working with famil</w:t>
                            </w:r>
                            <w:r>
                              <w:rPr>
                                <w:color w:val="0D0D0D"/>
                                <w:sz w:val="24"/>
                              </w:rPr>
                              <w:t>ies and enhancing post-16 education opportunities through the Sixth Form, are all part of this wider challenge for the area.</w:t>
                            </w:r>
                          </w:p>
                        </w:txbxContent>
                      </wps:txbx>
                      <wps:bodyPr spcFirstLastPara="1" wrap="square" lIns="0" tIns="0" rIns="0" bIns="0" anchor="t" anchorCtr="0">
                        <a:noAutofit/>
                      </wps:bodyPr>
                    </wps:wsp>
                  </a:graphicData>
                </a:graphic>
              </wp:anchor>
            </w:drawing>
          </mc:Choice>
          <mc:Fallback>
            <w:pict>
              <v:rect id="Rectangle 13" o:spid="_x0000_s1026" style="position:absolute;margin-left:3.5pt;margin-top:9.5pt;width:477pt;height:293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" filled="f" strokeweight="1pt">
                <v:stroke startarrowwidth="narrow" startarrowlength="short" endarrowwidth="narrow" endarrowlength="short" joinstyle="round"/>
                <v:textbox inset="0,0,0,0">
                  <w:txbxContent>
                    <w:p w:rsidR="002D22C2" w:rsidRDefault="000672A0">
                      <w:pPr>
                        <w:spacing w:before="123" w:line="288" w:lineRule="auto"/>
                        <w:ind w:left="98" w:right="96" w:firstLine="293"/>
                        <w:textDirection w:val="btLr"/>
                      </w:pPr>
                      <w:r>
                        <w:rPr>
                          <w:color w:val="0D0D0D"/>
                          <w:sz w:val="24"/>
                        </w:rPr>
                        <w:t>Dene Magna prides itself on the fact that the procedures and methods in place to support and provide for Pupil Premium students are rigorous, consistent and effective. Over the years, strategies such as targeted intervention and focus, equipment provision,</w:t>
                      </w:r>
                      <w:r>
                        <w:rPr>
                          <w:color w:val="0D0D0D"/>
                          <w:sz w:val="24"/>
                        </w:rPr>
                        <w:t xml:space="preserve"> pastoral care and feedback to students and parents has been exceptional and is firmly embedded.</w:t>
                      </w:r>
                    </w:p>
                    <w:p w:rsidR="002D22C2" w:rsidRDefault="000672A0">
                      <w:pPr>
                        <w:spacing w:before="120" w:line="288" w:lineRule="auto"/>
                        <w:ind w:left="98" w:right="96" w:firstLine="293"/>
                        <w:textDirection w:val="btLr"/>
                      </w:pPr>
                      <w:r>
                        <w:rPr>
                          <w:color w:val="0D0D0D"/>
                          <w:sz w:val="24"/>
                        </w:rPr>
                        <w:t>We constantly look to update our strategies in line with the needs of our students, and emerging evidence, which then feeds into the yearly Pupil Premium Schoo</w:t>
                      </w:r>
                      <w:r>
                        <w:rPr>
                          <w:color w:val="0D0D0D"/>
                          <w:sz w:val="24"/>
                        </w:rPr>
                        <w:t>l Improvement Plan. For this coming year some of the new strategies are the inclusion of instrumental lesson and continued technology support following the ending of the government laptop scheme. We hope these new strategies will complement the existing on</w:t>
                      </w:r>
                      <w:r>
                        <w:rPr>
                          <w:color w:val="0D0D0D"/>
                          <w:sz w:val="24"/>
                        </w:rPr>
                        <w:t>es towards our targets set out in the intent.</w:t>
                      </w:r>
                    </w:p>
                    <w:p w:rsidR="002D22C2" w:rsidRDefault="000672A0">
                      <w:pPr>
                        <w:spacing w:before="120" w:line="288" w:lineRule="auto"/>
                        <w:ind w:left="98" w:right="400" w:firstLine="293"/>
                        <w:textDirection w:val="btLr"/>
                      </w:pPr>
                      <w:r>
                        <w:rPr>
                          <w:color w:val="0D0D0D"/>
                          <w:sz w:val="24"/>
                        </w:rPr>
                        <w:t>In addition to this, Dene Magna aims to be a champion not just of the disadvantaged students, but of improving social mobility within the community. The strategies mentioned, alongside closer working with famil</w:t>
                      </w:r>
                      <w:r>
                        <w:rPr>
                          <w:color w:val="0D0D0D"/>
                          <w:sz w:val="24"/>
                        </w:rPr>
                        <w:t>ies and enhancing post-16 education opportunities through the Sixth Form, are all part of this wider challenge for the area.</w:t>
                      </w:r>
                    </w:p>
                  </w:txbxContent>
                </v:textbox>
                <w10:wrap type="topAndBottom"/>
              </v:rect>
            </w:pict>
          </mc:Fallback>
        </mc:AlternateContent>
      </w:r>
    </w:p>
    <w:p w:rsidR="002D22C2" w:rsidRDefault="002D22C2">
      <w:pPr>
        <w:pBdr>
          <w:top w:val="nil"/>
          <w:left w:val="nil"/>
          <w:bottom w:val="nil"/>
          <w:right w:val="nil"/>
          <w:between w:val="nil"/>
        </w:pBdr>
        <w:spacing w:before="1"/>
        <w:rPr>
          <w:b/>
          <w:bCs/>
          <w:sz w:val="18"/>
          <w:szCs w:val="18"/>
        </w:rPr>
      </w:pPr>
    </w:p>
    <w:p w:rsidR="002D22C2" w:rsidRDefault="002D22C2">
      <w:pPr>
        <w:pBdr>
          <w:top w:val="nil"/>
          <w:left w:val="nil"/>
          <w:bottom w:val="nil"/>
          <w:right w:val="nil"/>
          <w:between w:val="nil"/>
        </w:pBdr>
        <w:spacing w:before="1"/>
        <w:rPr>
          <w:b/>
          <w:bCs/>
          <w:sz w:val="18"/>
          <w:szCs w:val="18"/>
          <w:highlight w:val="red"/>
        </w:rPr>
      </w:pPr>
    </w:p>
    <w:sectPr w:rsidR="002D22C2">
      <w:pgSz w:w="11920" w:h="16840"/>
      <w:pgMar w:top="1060" w:right="1180" w:bottom="960" w:left="1000" w:header="0" w:footer="7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2A0" w:rsidRDefault="000672A0">
      <w:r>
        <w:separator/>
      </w:r>
    </w:p>
  </w:endnote>
  <w:endnote w:type="continuationSeparator" w:id="0">
    <w:p w:rsidR="000672A0" w:rsidRDefault="00067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B22D9D03-05F2-48E1-B60C-F1B483ABF6F3}"/>
  </w:font>
  <w:font w:name="Georgia">
    <w:panose1 w:val="02040502050405020303"/>
    <w:charset w:val="00"/>
    <w:family w:val="roman"/>
    <w:pitch w:val="variable"/>
    <w:sig w:usb0="00000287" w:usb1="00000000" w:usb2="00000000" w:usb3="00000000" w:csb0="0000009F" w:csb1="00000000"/>
    <w:embedItalic r:id="rId2" w:fontKey="{866EEFFF-EF49-48A1-907F-28F2D2E516F0}"/>
  </w:font>
  <w:font w:name="Cambria">
    <w:panose1 w:val="02040503050406030204"/>
    <w:charset w:val="00"/>
    <w:family w:val="roman"/>
    <w:pitch w:val="variable"/>
    <w:sig w:usb0="E00006FF" w:usb1="420024FF" w:usb2="02000000" w:usb3="00000000" w:csb0="0000019F" w:csb1="00000000"/>
    <w:embedRegular r:id="rId3" w:fontKey="{73EE3C5F-0BA6-4FC7-B0E0-92CA84B221D7}"/>
  </w:font>
  <w:font w:name="Calibri">
    <w:panose1 w:val="020F0502020204030204"/>
    <w:charset w:val="00"/>
    <w:family w:val="swiss"/>
    <w:pitch w:val="variable"/>
    <w:sig w:usb0="E4002EFF" w:usb1="C200247B" w:usb2="00000009" w:usb3="00000000" w:csb0="000001FF" w:csb1="00000000"/>
    <w:embedRegular r:id="rId4" w:fontKey="{B12E16FD-F4AA-40B6-BF88-E4FDEF48BA15}"/>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2C2" w:rsidRDefault="000672A0">
    <w:pPr>
      <w:pBdr>
        <w:top w:val="nil"/>
        <w:left w:val="nil"/>
        <w:bottom w:val="nil"/>
        <w:right w:val="nil"/>
        <w:between w:val="nil"/>
      </w:pBdr>
      <w:spacing w:line="14" w:lineRule="auto"/>
      <w:rPr>
        <w:color w:val="000000"/>
        <w:sz w:val="20"/>
        <w:szCs w:val="20"/>
      </w:rPr>
    </w:pPr>
    <w:r>
      <w:rPr>
        <w:noProof/>
        <w:lang w:val="en-GB"/>
      </w:rPr>
      <mc:AlternateContent>
        <mc:Choice Requires="wps">
          <w:drawing>
            <wp:anchor distT="0" distB="0" distL="0" distR="0" simplePos="0" relativeHeight="251658240" behindDoc="1" locked="0" layoutInCell="1" hidden="0" allowOverlap="1">
              <wp:simplePos x="0" y="0"/>
              <wp:positionH relativeFrom="column">
                <wp:posOffset>2890838</wp:posOffset>
              </wp:positionH>
              <wp:positionV relativeFrom="paragraph">
                <wp:posOffset>10040938</wp:posOffset>
              </wp:positionV>
              <wp:extent cx="287020" cy="224790"/>
              <wp:effectExtent l="0" t="0" r="0" b="0"/>
              <wp:wrapNone/>
              <wp:docPr id="14" name="Rectangle 14"/>
              <wp:cNvGraphicFramePr/>
              <a:graphic xmlns:a="http://schemas.openxmlformats.org/drawingml/2006/main">
                <a:graphicData uri="http://schemas.microsoft.com/office/word/2010/wordprocessingShape">
                  <wps:wsp>
                    <wps:cNvSpPr/>
                    <wps:spPr>
                      <a:xfrm>
                        <a:off x="5216778" y="3681893"/>
                        <a:ext cx="258445" cy="196215"/>
                      </a:xfrm>
                      <a:prstGeom prst="rect">
                        <a:avLst/>
                      </a:prstGeom>
                      <a:noFill/>
                      <a:ln>
                        <a:noFill/>
                      </a:ln>
                    </wps:spPr>
                    <wps:txbx>
                      <w:txbxContent>
                        <w:p w:rsidR="002D22C2" w:rsidRDefault="000672A0">
                          <w:pPr>
                            <w:spacing w:before="12"/>
                            <w:ind w:left="60" w:firstLine="180"/>
                            <w:textDirection w:val="btLr"/>
                          </w:pPr>
                          <w:r>
                            <w:rPr>
                              <w:color w:val="0D0D0D"/>
                              <w:sz w:val="24"/>
                            </w:rPr>
                            <w:t xml:space="preserve"> PAGE 10</w:t>
                          </w:r>
                        </w:p>
                      </w:txbxContent>
                    </wps:txbx>
                    <wps:bodyPr spcFirstLastPara="1" wrap="square" lIns="0" tIns="0" rIns="0" bIns="0" anchor="t" anchorCtr="0">
                      <a:noAutofit/>
                    </wps:bodyPr>
                  </wps:wsp>
                </a:graphicData>
              </a:graphic>
            </wp:anchor>
          </w:drawing>
        </mc:Choice>
        <mc:Fallback>
          <w:pict>
            <v:rect id="Rectangle 14" o:spid="_x0000_s1027" style="position:absolute;margin-left:227.65pt;margin-top:790.65pt;width:22.6pt;height:17.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" filled="f" stroked="f">
              <v:textbox inset="0,0,0,0">
                <w:txbxContent>
                  <w:p w:rsidR="002D22C2" w:rsidRDefault="000672A0">
                    <w:pPr>
                      <w:spacing w:before="12"/>
                      <w:ind w:left="60" w:firstLine="180"/>
                      <w:textDirection w:val="btLr"/>
                    </w:pPr>
                    <w:r>
                      <w:rPr>
                        <w:color w:val="0D0D0D"/>
                        <w:sz w:val="24"/>
                      </w:rPr>
                      <w:t xml:space="preserve"> PAGE 10</w:t>
                    </w:r>
                  </w:p>
                </w:txbxContent>
              </v:textbox>
            </v:rect>
          </w:pict>
        </mc:Fallback>
      </mc:AlternateContent>
    </w:r>
    <w:r>
      <w:rPr>
        <w:noProof/>
        <w:lang w:val="en-GB"/>
      </w:rPr>
      <mc:AlternateContent>
        <mc:Choice Requires="wpg">
          <w:drawing>
            <wp:anchor distT="0" distB="0" distL="0" distR="0" simplePos="0" relativeHeight="251659264" behindDoc="1" locked="0" layoutInCell="1" hidden="0" allowOverlap="1">
              <wp:simplePos x="0" y="0"/>
              <wp:positionH relativeFrom="column">
                <wp:posOffset>-514347</wp:posOffset>
              </wp:positionH>
              <wp:positionV relativeFrom="paragraph">
                <wp:posOffset>49625250</wp:posOffset>
              </wp:positionV>
              <wp:extent cx="6083300" cy="6629400"/>
              <wp:effectExtent l="0" t="0" r="0" b="0"/>
              <wp:wrapNone/>
              <wp:docPr id="15" name="Freeform 15"/>
              <wp:cNvGraphicFramePr/>
              <a:graphic xmlns:a="http://schemas.openxmlformats.org/drawingml/2006/main">
                <a:graphicData uri="http://schemas.microsoft.com/office/word/2010/wordprocessingShape">
                  <wps:wsp>
                    <wps:cNvSpPr/>
                    <wps:spPr>
                      <a:xfrm>
                        <a:off x="2323400" y="484350"/>
                        <a:ext cx="6045200" cy="6591300"/>
                      </a:xfrm>
                      <a:custGeom>
                        <a:avLst/>
                        <a:gdLst/>
                        <a:ahLst/>
                        <a:cxnLst/>
                        <a:rect l="l" t="t" r="r" b="b"/>
                        <a:pathLst>
                          <a:path w="6045200" h="6591300" extrusionOk="0">
                            <a:moveTo>
                              <a:pt x="6349" y="0"/>
                            </a:moveTo>
                            <a:lnTo>
                              <a:pt x="6349" y="6591299"/>
                            </a:lnTo>
                          </a:path>
                          <a:path w="6045200" h="6591300" extrusionOk="0">
                            <a:moveTo>
                              <a:pt x="6038849" y="0"/>
                            </a:moveTo>
                            <a:lnTo>
                              <a:pt x="6038849" y="6591299"/>
                            </a:lnTo>
                          </a:path>
                          <a:path w="6045200" h="6591300" extrusionOk="0">
                            <a:moveTo>
                              <a:pt x="0" y="6350"/>
                            </a:moveTo>
                            <a:lnTo>
                              <a:pt x="6045200" y="6350"/>
                            </a:lnTo>
                          </a:path>
                          <a:path w="6045200" h="6591300" extrusionOk="0">
                            <a:moveTo>
                              <a:pt x="0" y="6584950"/>
                            </a:moveTo>
                            <a:lnTo>
                              <a:pt x="6045200" y="6584950"/>
                            </a:lnTo>
                          </a:path>
                        </a:pathLst>
                      </a:custGeom>
                      <a:no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-514347</wp:posOffset>
              </wp:positionH>
              <wp:positionV relativeFrom="paragraph">
                <wp:posOffset>49625250</wp:posOffset>
              </wp:positionV>
              <wp:extent cx="6083300" cy="6629400"/>
              <wp:effectExtent b="0" l="0" r="0" t="0"/>
              <wp:wrapNone/>
              <wp:docPr id="15"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083300" cy="662940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2A0" w:rsidRDefault="000672A0">
      <w:r>
        <w:separator/>
      </w:r>
    </w:p>
  </w:footnote>
  <w:footnote w:type="continuationSeparator" w:id="0">
    <w:p w:rsidR="000672A0" w:rsidRDefault="000672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143"/>
    <w:multiLevelType w:val="multilevel"/>
    <w:tmpl w:val="6A34C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7A5B81"/>
    <w:multiLevelType w:val="multilevel"/>
    <w:tmpl w:val="3D2E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65D43"/>
    <w:multiLevelType w:val="multilevel"/>
    <w:tmpl w:val="49E41898"/>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CF4455"/>
    <w:multiLevelType w:val="multilevel"/>
    <w:tmpl w:val="70968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F3B3670"/>
    <w:multiLevelType w:val="multilevel"/>
    <w:tmpl w:val="40A0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421967"/>
    <w:multiLevelType w:val="multilevel"/>
    <w:tmpl w:val="726640E0"/>
    <w:lvl w:ilvl="0">
      <w:start w:val="1"/>
      <w:numFmt w:val="decimal"/>
      <w:lvlText w:val="%1."/>
      <w:lvlJc w:val="left"/>
      <w:pPr>
        <w:ind w:left="720" w:hanging="360"/>
      </w:pPr>
      <w:rPr>
        <w:rFonts w:ascii="Arial" w:eastAsia="Arial" w:hAnsi="Arial" w:cs="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33DC436B"/>
    <w:multiLevelType w:val="multilevel"/>
    <w:tmpl w:val="1F962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E810AF"/>
    <w:multiLevelType w:val="multilevel"/>
    <w:tmpl w:val="57CCA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667E35"/>
    <w:multiLevelType w:val="multilevel"/>
    <w:tmpl w:val="1D4EACAA"/>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100D16"/>
    <w:multiLevelType w:val="multilevel"/>
    <w:tmpl w:val="933E5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F832F3"/>
    <w:multiLevelType w:val="multilevel"/>
    <w:tmpl w:val="8476466E"/>
    <w:lvl w:ilvl="0">
      <w:numFmt w:val="bullet"/>
      <w:lvlText w:val="-"/>
      <w:lvlJc w:val="left"/>
      <w:pPr>
        <w:ind w:left="829" w:hanging="357"/>
      </w:pPr>
      <w:rPr>
        <w:rFonts w:ascii="Arial" w:eastAsia="Arial" w:hAnsi="Arial" w:cs="Arial"/>
        <w:b w:val="0"/>
        <w:bCs w:val="0"/>
        <w:i w:val="0"/>
        <w:iCs w:val="0"/>
        <w:color w:val="0D0D0D"/>
        <w:sz w:val="22"/>
        <w:szCs w:val="22"/>
      </w:rPr>
    </w:lvl>
    <w:lvl w:ilvl="1">
      <w:numFmt w:val="bullet"/>
      <w:lvlText w:val="•"/>
      <w:lvlJc w:val="left"/>
      <w:pPr>
        <w:ind w:left="998" w:hanging="360"/>
      </w:pPr>
    </w:lvl>
    <w:lvl w:ilvl="2">
      <w:numFmt w:val="bullet"/>
      <w:lvlText w:val="•"/>
      <w:lvlJc w:val="left"/>
      <w:pPr>
        <w:ind w:left="1176" w:hanging="360"/>
      </w:pPr>
    </w:lvl>
    <w:lvl w:ilvl="3">
      <w:numFmt w:val="bullet"/>
      <w:lvlText w:val="•"/>
      <w:lvlJc w:val="left"/>
      <w:pPr>
        <w:ind w:left="1354" w:hanging="360"/>
      </w:pPr>
    </w:lvl>
    <w:lvl w:ilvl="4">
      <w:numFmt w:val="bullet"/>
      <w:lvlText w:val="•"/>
      <w:lvlJc w:val="left"/>
      <w:pPr>
        <w:ind w:left="1532" w:hanging="360"/>
      </w:pPr>
    </w:lvl>
    <w:lvl w:ilvl="5">
      <w:numFmt w:val="bullet"/>
      <w:lvlText w:val="•"/>
      <w:lvlJc w:val="left"/>
      <w:pPr>
        <w:ind w:left="1710" w:hanging="360"/>
      </w:pPr>
    </w:lvl>
    <w:lvl w:ilvl="6">
      <w:numFmt w:val="bullet"/>
      <w:lvlText w:val="•"/>
      <w:lvlJc w:val="left"/>
      <w:pPr>
        <w:ind w:left="1888" w:hanging="360"/>
      </w:pPr>
    </w:lvl>
    <w:lvl w:ilvl="7">
      <w:numFmt w:val="bullet"/>
      <w:lvlText w:val="•"/>
      <w:lvlJc w:val="left"/>
      <w:pPr>
        <w:ind w:left="2066" w:hanging="360"/>
      </w:pPr>
    </w:lvl>
    <w:lvl w:ilvl="8">
      <w:numFmt w:val="bullet"/>
      <w:lvlText w:val="•"/>
      <w:lvlJc w:val="left"/>
      <w:pPr>
        <w:ind w:left="2244" w:hanging="360"/>
      </w:pPr>
    </w:lvl>
  </w:abstractNum>
  <w:abstractNum w:abstractNumId="11" w15:restartNumberingAfterBreak="0">
    <w:nsid w:val="68984B19"/>
    <w:multiLevelType w:val="multilevel"/>
    <w:tmpl w:val="9724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CC80CCE"/>
    <w:multiLevelType w:val="multilevel"/>
    <w:tmpl w:val="F650F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DF32055"/>
    <w:multiLevelType w:val="multilevel"/>
    <w:tmpl w:val="3CB8A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5"/>
  </w:num>
  <w:num w:numId="3">
    <w:abstractNumId w:val="2"/>
  </w:num>
  <w:num w:numId="4">
    <w:abstractNumId w:val="12"/>
  </w:num>
  <w:num w:numId="5">
    <w:abstractNumId w:val="8"/>
  </w:num>
  <w:num w:numId="6">
    <w:abstractNumId w:val="7"/>
  </w:num>
  <w:num w:numId="7">
    <w:abstractNumId w:val="10"/>
  </w:num>
  <w:num w:numId="8">
    <w:abstractNumId w:val="6"/>
  </w:num>
  <w:num w:numId="9">
    <w:abstractNumId w:val="0"/>
  </w:num>
  <w:num w:numId="10">
    <w:abstractNumId w:val="9"/>
  </w:num>
  <w:num w:numId="11">
    <w:abstractNumId w:val="13"/>
  </w:num>
  <w:num w:numId="12">
    <w:abstractNumId w:val="3"/>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2C2"/>
    <w:rsid w:val="000672A0"/>
    <w:rsid w:val="00085234"/>
    <w:rsid w:val="002D22C2"/>
    <w:rsid w:val="006D5718"/>
    <w:rsid w:val="00A90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ACE6E"/>
  <w15:docId w15:val="{6EEF9036-7E8F-488C-9CB5-20FB72BD1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74"/>
      <w:ind w:left="133"/>
      <w:outlineLvl w:val="0"/>
    </w:pPr>
    <w:rPr>
      <w:b/>
      <w:bCs/>
      <w:sz w:val="36"/>
      <w:szCs w:val="36"/>
    </w:rPr>
  </w:style>
  <w:style w:type="paragraph" w:styleId="Heading2">
    <w:name w:val="heading 2"/>
    <w:basedOn w:val="Normal"/>
    <w:next w:val="Normal"/>
    <w:pPr>
      <w:ind w:left="133"/>
      <w:outlineLvl w:val="1"/>
    </w:pPr>
    <w:rPr>
      <w:b/>
      <w:bCs/>
      <w:sz w:val="32"/>
      <w:szCs w:val="32"/>
    </w:rPr>
  </w:style>
  <w:style w:type="paragraph" w:styleId="Heading3">
    <w:name w:val="heading 3"/>
    <w:basedOn w:val="Normal"/>
    <w:next w:val="Normal"/>
    <w:pPr>
      <w:ind w:left="133"/>
      <w:outlineLvl w:val="2"/>
    </w:pPr>
    <w:rPr>
      <w:b/>
      <w:bCs/>
      <w:sz w:val="28"/>
      <w:szCs w:val="28"/>
    </w:rPr>
  </w:style>
  <w:style w:type="paragraph" w:styleId="Heading4">
    <w:name w:val="heading 4"/>
    <w:basedOn w:val="Normal"/>
    <w:next w:val="Normal"/>
    <w:pPr>
      <w:spacing w:before="240"/>
      <w:ind w:left="133"/>
      <w:outlineLvl w:val="3"/>
    </w:pPr>
    <w:rPr>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BodyText">
    <w:name w:val="Body Text"/>
    <w:basedOn w:val="Normal"/>
    <w:uiPriority w:val="1"/>
    <w:qFormat/>
  </w:style>
  <w:style w:type="paragraph" w:styleId="ListParagraph">
    <w:name w:val="List Paragraph"/>
    <w:basedOn w:val="Normal"/>
    <w:uiPriority w:val="1"/>
    <w:qFormat/>
    <w:pPr>
      <w:ind w:left="958" w:hanging="360"/>
    </w:pPr>
  </w:style>
  <w:style w:type="paragraph" w:customStyle="1" w:styleId="TableParagraph">
    <w:name w:val="Table Paragraph"/>
    <w:basedOn w:val="Normal"/>
    <w:uiPriority w:val="1"/>
    <w:qFormat/>
    <w:pPr>
      <w:ind w:left="169"/>
    </w:p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left w:w="0" w:type="dxa"/>
        <w:right w:w="0" w:type="dxa"/>
      </w:tblCellMar>
    </w:tblPr>
  </w:style>
  <w:style w:type="table" w:customStyle="1" w:styleId="af3">
    <w:basedOn w:val="TableNormal"/>
    <w:tblPr>
      <w:tblStyleRowBandSize w:val="1"/>
      <w:tblStyleColBandSize w:val="1"/>
      <w:tblCellMar>
        <w:left w:w="0" w:type="dxa"/>
        <w:right w:w="0" w:type="dxa"/>
      </w:tblCellMar>
    </w:tblPr>
  </w:style>
  <w:style w:type="table" w:customStyle="1" w:styleId="af4">
    <w:basedOn w:val="TableNormal"/>
    <w:tblPr>
      <w:tblStyleRowBandSize w:val="1"/>
      <w:tblStyleColBandSize w:val="1"/>
      <w:tblCellMar>
        <w:left w:w="0" w:type="dxa"/>
        <w:right w:w="0" w:type="dxa"/>
      </w:tblCellMar>
    </w:tblPr>
  </w:style>
  <w:style w:type="paragraph" w:styleId="BalloonText">
    <w:name w:val="Balloon Text"/>
    <w:basedOn w:val="Normal"/>
    <w:link w:val="BalloonTextChar"/>
    <w:uiPriority w:val="99"/>
    <w:semiHidden/>
    <w:unhideWhenUsed/>
    <w:rsid w:val="002814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140F"/>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0" w:type="dxa"/>
        <w:right w:w="0" w:type="dxa"/>
      </w:tblCellMar>
    </w:tblPr>
  </w:style>
  <w:style w:type="table" w:customStyle="1" w:styleId="af7">
    <w:basedOn w:val="TableNormal"/>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0" w:type="dxa"/>
        <w:right w:w="0" w:type="dxa"/>
      </w:tblCellMar>
    </w:tblPr>
  </w:style>
  <w:style w:type="table" w:customStyle="1" w:styleId="af9">
    <w:basedOn w:val="TableNormal"/>
    <w:tblPr>
      <w:tblStyleRowBandSize w:val="1"/>
      <w:tblStyleColBandSize w:val="1"/>
      <w:tblCellMar>
        <w:left w:w="0" w:type="dxa"/>
        <w:right w:w="0" w:type="dxa"/>
      </w:tblCellMar>
    </w:tblPr>
  </w:style>
  <w:style w:type="table" w:customStyle="1" w:styleId="afa">
    <w:basedOn w:val="TableNormal"/>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0" w:type="dxa"/>
        <w:right w:w="0" w:type="dxa"/>
      </w:tblCellMar>
    </w:tblPr>
  </w:style>
  <w:style w:type="table" w:customStyle="1" w:styleId="afc">
    <w:basedOn w:val="TableNormal"/>
    <w:tblPr>
      <w:tblStyleRowBandSize w:val="1"/>
      <w:tblStyleColBandSize w:val="1"/>
      <w:tblCellMar>
        <w:left w:w="0" w:type="dxa"/>
        <w:right w:w="0"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tcPr>
      <w:shd w:val="clear" w:color="auto" w:fill="F0F4F9"/>
    </w:tcPr>
  </w:style>
  <w:style w:type="table" w:customStyle="1" w:styleId="aff0">
    <w:basedOn w:val="TableNormal"/>
    <w:tblPr>
      <w:tblStyleRowBandSize w:val="1"/>
      <w:tblStyleColBandSize w:val="1"/>
      <w:tblCellMar>
        <w:left w:w="0" w:type="dxa"/>
        <w:right w:w="0" w:type="dxa"/>
      </w:tblCellMar>
    </w:tblPr>
  </w:style>
  <w:style w:type="table" w:customStyle="1" w:styleId="aff1">
    <w:basedOn w:val="TableNormal"/>
    <w:tblPr>
      <w:tblStyleRowBandSize w:val="1"/>
      <w:tblStyleColBandSize w:val="1"/>
      <w:tblCellMar>
        <w:left w:w="0" w:type="dxa"/>
        <w:right w:w="0" w:type="dxa"/>
      </w:tblCellMar>
    </w:tblPr>
  </w:style>
  <w:style w:type="table" w:styleId="TableGrid">
    <w:name w:val="Table Grid"/>
    <w:basedOn w:val="TableNormal"/>
    <w:uiPriority w:val="39"/>
    <w:rsid w:val="006D57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D5718"/>
    <w:pPr>
      <w:widowControl/>
      <w:spacing w:before="100" w:beforeAutospacing="1" w:after="100" w:afterAutospacing="1"/>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196055">
      <w:bodyDiv w:val="1"/>
      <w:marLeft w:val="0"/>
      <w:marRight w:val="0"/>
      <w:marTop w:val="0"/>
      <w:marBottom w:val="0"/>
      <w:divBdr>
        <w:top w:val="none" w:sz="0" w:space="0" w:color="auto"/>
        <w:left w:val="none" w:sz="0" w:space="0" w:color="auto"/>
        <w:bottom w:val="none" w:sz="0" w:space="0" w:color="auto"/>
        <w:right w:val="none" w:sz="0" w:space="0" w:color="auto"/>
      </w:divBdr>
    </w:div>
    <w:div w:id="1026061080">
      <w:bodyDiv w:val="1"/>
      <w:marLeft w:val="0"/>
      <w:marRight w:val="0"/>
      <w:marTop w:val="0"/>
      <w:marBottom w:val="0"/>
      <w:divBdr>
        <w:top w:val="none" w:sz="0" w:space="0" w:color="auto"/>
        <w:left w:val="none" w:sz="0" w:space="0" w:color="auto"/>
        <w:bottom w:val="none" w:sz="0" w:space="0" w:color="auto"/>
        <w:right w:val="none" w:sz="0" w:space="0" w:color="auto"/>
      </w:divBdr>
    </w:div>
    <w:div w:id="1119908421">
      <w:bodyDiv w:val="1"/>
      <w:marLeft w:val="0"/>
      <w:marRight w:val="0"/>
      <w:marTop w:val="0"/>
      <w:marBottom w:val="0"/>
      <w:divBdr>
        <w:top w:val="none" w:sz="0" w:space="0" w:color="auto"/>
        <w:left w:val="none" w:sz="0" w:space="0" w:color="auto"/>
        <w:bottom w:val="none" w:sz="0" w:space="0" w:color="auto"/>
        <w:right w:val="none" w:sz="0" w:space="0" w:color="auto"/>
      </w:divBdr>
    </w:div>
    <w:div w:id="1252591625">
      <w:bodyDiv w:val="1"/>
      <w:marLeft w:val="0"/>
      <w:marRight w:val="0"/>
      <w:marTop w:val="0"/>
      <w:marBottom w:val="0"/>
      <w:divBdr>
        <w:top w:val="none" w:sz="0" w:space="0" w:color="auto"/>
        <w:left w:val="none" w:sz="0" w:space="0" w:color="auto"/>
        <w:bottom w:val="none" w:sz="0" w:space="0" w:color="auto"/>
        <w:right w:val="none" w:sz="0" w:space="0" w:color="auto"/>
      </w:divBdr>
    </w:div>
    <w:div w:id="1269124455">
      <w:bodyDiv w:val="1"/>
      <w:marLeft w:val="0"/>
      <w:marRight w:val="0"/>
      <w:marTop w:val="0"/>
      <w:marBottom w:val="0"/>
      <w:divBdr>
        <w:top w:val="none" w:sz="0" w:space="0" w:color="auto"/>
        <w:left w:val="none" w:sz="0" w:space="0" w:color="auto"/>
        <w:bottom w:val="none" w:sz="0" w:space="0" w:color="auto"/>
        <w:right w:val="none" w:sz="0" w:space="0" w:color="auto"/>
      </w:divBdr>
    </w:div>
    <w:div w:id="1528368625">
      <w:bodyDiv w:val="1"/>
      <w:marLeft w:val="0"/>
      <w:marRight w:val="0"/>
      <w:marTop w:val="0"/>
      <w:marBottom w:val="0"/>
      <w:divBdr>
        <w:top w:val="none" w:sz="0" w:space="0" w:color="auto"/>
        <w:left w:val="none" w:sz="0" w:space="0" w:color="auto"/>
        <w:bottom w:val="none" w:sz="0" w:space="0" w:color="auto"/>
        <w:right w:val="none" w:sz="0" w:space="0" w:color="auto"/>
      </w:divBdr>
    </w:div>
    <w:div w:id="2132741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OGgj/shIJwl2fxdpcV4p//yLPg==">CgMxLjAaHwoBMBIaChgICVIUChJ0YWJsZS5rbXVxZno3cnZ0MG0yCGguZ2pkZ3hzMg5oLnVvbnp1NDVvMXZocDIOaC5zaHoxdzRnMTBucGcyDmgua2d5MmEzNmlsd20yMg5oLm01eHhlZjF0eWt3MDIOaC5mZzVwY2h3ZjYzbHIyDmguMmt5Y3piMzRlcDI1Mg5oLjM5Nm5lZGtyNHliMDIOaC50Y2x4cnh5YnozNGMyDmgudnJvcHFoYXpubWJoMg5oLnN0MmF0OGpkMnFxYTINaC5nbml2NTZ0dTRzNDgAciExVEE5b01zNVdxZjhDTmFEZW9xQVFRN1V1aVNsWkZFNG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3296</Words>
  <Characters>18789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Dene Magna School</Company>
  <LinksUpToDate>false</LinksUpToDate>
  <CharactersWithSpaces>22041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Natascha Cook</dc:creator>
  <cp:lastModifiedBy>Declan Mooney</cp:lastModifiedBy>
  <cp:revision>2</cp:revision>
  <cp:lastPrinted>2026-01-07T07:52:00Z</cp:lastPrinted>
  <dcterms:created xsi:type="dcterms:W3CDTF">2026-01-07T12:07:00Z</dcterms:created>
  <dcterms:modified xsi:type="dcterms:W3CDTF">2026-01-07T12:07:00Z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m110 Google Docs Renderer</vt:lpwstr>
  </property>
</Properties>
</file>